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41" w:rsidRDefault="00234D41" w:rsidP="00234D41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Утверждена</w:t>
      </w:r>
    </w:p>
    <w:p w:rsidR="00234D41" w:rsidRDefault="00234D41" w:rsidP="00234D41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 администрации 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тинского сельского поселения Х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хольского муниципального района</w:t>
      </w:r>
    </w:p>
    <w:p w:rsidR="009C240D" w:rsidRPr="00DD0E05" w:rsidRDefault="00234D41" w:rsidP="00234D41">
      <w:pPr>
        <w:spacing w:after="0" w:line="240" w:lineRule="auto"/>
        <w:ind w:left="1062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№ 16 от  29.12.2023  г.</w:t>
      </w:r>
    </w:p>
    <w:p w:rsidR="009C240D" w:rsidRDefault="009C240D" w:rsidP="009C240D">
      <w:pPr>
        <w:tabs>
          <w:tab w:val="left" w:pos="10965"/>
        </w:tabs>
        <w:spacing w:after="0" w:line="240" w:lineRule="auto"/>
        <w:rPr>
          <w:rFonts w:ascii="Times New Roman" w:hAnsi="Times New Roman"/>
          <w:b/>
        </w:rPr>
      </w:pPr>
    </w:p>
    <w:p w:rsidR="0081577D" w:rsidRPr="0081577D" w:rsidRDefault="0081577D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81577D" w:rsidRDefault="0081577D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9C240D" w:rsidRPr="000A316E" w:rsidRDefault="000A316E" w:rsidP="009C240D">
      <w:pPr>
        <w:spacing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A316E">
        <w:rPr>
          <w:rFonts w:ascii="Times New Roman" w:hAnsi="Times New Roman"/>
          <w:b/>
        </w:rPr>
        <w:t>НАПРАВЛЕНИЕ УВЕДОМЛЕНИЯ О ПЛАНИРУЕМОМ СНОСЕ ОБЪЕКТА КАПИТАЛЬНОГО СТРОИТЕЛЬСТВА И УВЕДОМЛЕНИЯ О З</w:t>
      </w:r>
      <w:r w:rsidRPr="000A316E">
        <w:rPr>
          <w:rFonts w:ascii="Times New Roman" w:hAnsi="Times New Roman"/>
          <w:b/>
        </w:rPr>
        <w:t>А</w:t>
      </w:r>
      <w:r w:rsidRPr="000A316E">
        <w:rPr>
          <w:rFonts w:ascii="Times New Roman" w:hAnsi="Times New Roman"/>
          <w:b/>
        </w:rPr>
        <w:t>ВЕРШЕНИИ СНОСА ОБЪЕКТА КАПИТАЛЬНОГО СТРОИТЕЛЬСТВА.</w:t>
      </w:r>
    </w:p>
    <w:p w:rsidR="0081577D" w:rsidRPr="0081577D" w:rsidRDefault="0081577D" w:rsidP="0081577D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81577D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1577D">
              <w:rPr>
                <w:rFonts w:ascii="Times New Roman" w:hAnsi="Times New Roman"/>
                <w:b/>
              </w:rPr>
              <w:t>п</w:t>
            </w:r>
            <w:proofErr w:type="gramEnd"/>
            <w:r w:rsidRPr="0081577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3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Номер услуги в федеральном реестре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81577D" w:rsidRPr="0081577D" w:rsidRDefault="009C240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3640100010000826249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1577D" w:rsidRPr="00AB79D0" w:rsidRDefault="000A316E" w:rsidP="0081577D">
            <w:pPr>
              <w:spacing w:line="240" w:lineRule="auto"/>
            </w:pPr>
            <w:r w:rsidRPr="000A316E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</w:t>
            </w:r>
            <w:r w:rsidRPr="000A316E">
              <w:rPr>
                <w:rFonts w:ascii="Times New Roman" w:hAnsi="Times New Roman" w:cs="Times New Roman"/>
              </w:rPr>
              <w:t>е</w:t>
            </w:r>
            <w:r w:rsidRPr="000A316E">
              <w:rPr>
                <w:rFonts w:ascii="Times New Roman" w:hAnsi="Times New Roman" w:cs="Times New Roman"/>
              </w:rPr>
              <w:t>домления о завершении сноса объекта капитального строительства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1577D" w:rsidRPr="00AB79D0" w:rsidRDefault="000A316E" w:rsidP="0081577D">
            <w:pPr>
              <w:spacing w:line="240" w:lineRule="auto"/>
            </w:pPr>
            <w:r w:rsidRPr="000A316E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</w:t>
            </w:r>
            <w:r w:rsidRPr="000A316E">
              <w:rPr>
                <w:rFonts w:ascii="Times New Roman" w:hAnsi="Times New Roman" w:cs="Times New Roman"/>
              </w:rPr>
              <w:t>е</w:t>
            </w:r>
            <w:r w:rsidRPr="000A316E">
              <w:rPr>
                <w:rFonts w:ascii="Times New Roman" w:hAnsi="Times New Roman" w:cs="Times New Roman"/>
              </w:rPr>
              <w:t>домления о завершении сноса объекта капитального строительства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ципальной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81577D" w:rsidRPr="0081577D" w:rsidRDefault="003F4477" w:rsidP="003F447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67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Постановление администрации  Петинского сельского поселения Хохольского муниципал</w:t>
            </w:r>
            <w:r w:rsidRPr="0067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67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</w:t>
            </w:r>
            <w:r w:rsidR="000A31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03.11.2023г. №211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A316E" w:rsidRPr="000A316E">
              <w:rPr>
                <w:rFonts w:ascii="Times New Roman" w:hAnsi="Times New Roman" w:cs="Times New Roman"/>
              </w:rPr>
              <w:t>О</w:t>
            </w:r>
            <w:proofErr w:type="gramEnd"/>
            <w:r w:rsidR="000A316E" w:rsidRPr="000A316E">
              <w:rPr>
                <w:rFonts w:ascii="Times New Roman" w:hAnsi="Times New Roman" w:cs="Times New Roman"/>
              </w:rPr>
              <w:t>б утверждении административн</w:t>
            </w:r>
            <w:r w:rsidR="000A316E" w:rsidRPr="000A316E">
              <w:rPr>
                <w:rFonts w:ascii="Times New Roman" w:hAnsi="Times New Roman" w:cs="Times New Roman"/>
              </w:rPr>
              <w:t>о</w:t>
            </w:r>
            <w:r w:rsidR="000A316E" w:rsidRPr="000A316E">
              <w:rPr>
                <w:rFonts w:ascii="Times New Roman" w:hAnsi="Times New Roman" w:cs="Times New Roman"/>
              </w:rPr>
              <w:t>го регламента предоставления муниципальной услуги «Направление уведомления о план</w:t>
            </w:r>
            <w:r w:rsidR="000A316E" w:rsidRPr="000A316E">
              <w:rPr>
                <w:rFonts w:ascii="Times New Roman" w:hAnsi="Times New Roman" w:cs="Times New Roman"/>
              </w:rPr>
              <w:t>и</w:t>
            </w:r>
            <w:r w:rsidR="000A316E" w:rsidRPr="000A316E">
              <w:rPr>
                <w:rFonts w:ascii="Times New Roman" w:hAnsi="Times New Roman" w:cs="Times New Roman"/>
              </w:rPr>
              <w:t>руемом сносе объекта капитального строительства и уведомления о завершении сноса объе</w:t>
            </w:r>
            <w:r w:rsidR="000A316E" w:rsidRPr="000A316E">
              <w:rPr>
                <w:rFonts w:ascii="Times New Roman" w:hAnsi="Times New Roman" w:cs="Times New Roman"/>
              </w:rPr>
              <w:t>к</w:t>
            </w:r>
            <w:r w:rsidR="000A316E" w:rsidRPr="000A316E">
              <w:rPr>
                <w:rFonts w:ascii="Times New Roman" w:hAnsi="Times New Roman" w:cs="Times New Roman"/>
              </w:rPr>
              <w:t>та капитального строительства» на территории Петинского сельского поселения Хохольского муниципального района Воронежской области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Перечень «</w:t>
            </w:r>
            <w:proofErr w:type="spellStart"/>
            <w:r w:rsidRPr="0081577D">
              <w:rPr>
                <w:rFonts w:ascii="Times New Roman" w:hAnsi="Times New Roman"/>
              </w:rPr>
              <w:t>подуслуг</w:t>
            </w:r>
            <w:proofErr w:type="spellEnd"/>
            <w:r w:rsidRPr="0081577D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радиотелефонная связь;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МФЦ;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официальный сайт органа;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81577D" w:rsidRPr="00AB79D0" w:rsidRDefault="0081577D" w:rsidP="00FB775B">
      <w:pPr>
        <w:spacing w:line="240" w:lineRule="auto"/>
        <w:rPr>
          <w:rFonts w:ascii="Times New Roman" w:hAnsi="Times New Roman"/>
          <w:b/>
        </w:rPr>
      </w:pPr>
    </w:p>
    <w:p w:rsidR="00D22156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276"/>
        <w:gridCol w:w="2835"/>
        <w:gridCol w:w="1134"/>
        <w:gridCol w:w="992"/>
        <w:gridCol w:w="1134"/>
        <w:gridCol w:w="1134"/>
        <w:gridCol w:w="1134"/>
        <w:gridCol w:w="1701"/>
        <w:gridCol w:w="1560"/>
      </w:tblGrid>
      <w:tr w:rsidR="00AB79D0" w:rsidRPr="00AB79D0" w:rsidTr="00AB79D0">
        <w:tc>
          <w:tcPr>
            <w:tcW w:w="2376" w:type="dxa"/>
            <w:gridSpan w:val="2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предоставл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276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835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пр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остано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прио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 за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ства (ме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нахо</w:t>
            </w:r>
            <w:r w:rsidRPr="00AB79D0">
              <w:rPr>
                <w:rFonts w:ascii="Times New Roman" w:hAnsi="Times New Roman"/>
                <w:b/>
              </w:rPr>
              <w:t>ж</w:t>
            </w:r>
            <w:r w:rsidRPr="00AB79D0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AB79D0">
              <w:rPr>
                <w:rFonts w:ascii="Times New Roman" w:hAnsi="Times New Roman"/>
                <w:b/>
              </w:rPr>
              <w:t>.л</w:t>
            </w:r>
            <w:proofErr w:type="gramEnd"/>
            <w:r w:rsidRPr="00AB79D0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не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 xml:space="preserve">ства </w:t>
            </w:r>
          </w:p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AB79D0">
              <w:rPr>
                <w:rFonts w:ascii="Times New Roman" w:hAnsi="Times New Roman"/>
                <w:b/>
              </w:rPr>
              <w:t>по 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276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Наличие платы (гос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Рекв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зиты норм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тивного правов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го акта, явля</w:t>
            </w:r>
            <w:r w:rsidRPr="00AB79D0">
              <w:rPr>
                <w:rFonts w:ascii="Times New Roman" w:hAnsi="Times New Roman"/>
                <w:b/>
              </w:rPr>
              <w:t>ю</w:t>
            </w:r>
            <w:r w:rsidRPr="00AB79D0">
              <w:rPr>
                <w:rFonts w:ascii="Times New Roman" w:hAnsi="Times New Roman"/>
                <w:b/>
              </w:rPr>
              <w:t>щегося 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КБК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ны), в том чи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1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11</w:t>
            </w:r>
          </w:p>
        </w:tc>
      </w:tr>
      <w:tr w:rsidR="00AB79D0" w:rsidRPr="00AB79D0" w:rsidTr="00AB79D0">
        <w:tc>
          <w:tcPr>
            <w:tcW w:w="15276" w:type="dxa"/>
            <w:gridSpan w:val="11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0A316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рабочих</w:t>
            </w:r>
            <w:r w:rsidR="00AB79D0" w:rsidRPr="00AB79D0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134" w:type="dxa"/>
          </w:tcPr>
          <w:p w:rsidR="00AB79D0" w:rsidRPr="00AB79D0" w:rsidRDefault="000A316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чих</w:t>
            </w:r>
            <w:r w:rsidRPr="00AB79D0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276" w:type="dxa"/>
          </w:tcPr>
          <w:p w:rsidR="00AB79D0" w:rsidRPr="00AB79D0" w:rsidRDefault="00AB79D0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1) непредставление указа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ных документов: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правоустанавливающие документы на переводимое помещение в случае, если право на переводимое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не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вано в </w:t>
            </w:r>
            <w:r>
              <w:rPr>
                <w:rFonts w:ascii="Times New Roman" w:hAnsi="Times New Roman"/>
              </w:rPr>
              <w:t>ЕГРП</w:t>
            </w:r>
            <w:r w:rsidRPr="00AB79D0">
              <w:rPr>
                <w:rFonts w:ascii="Times New Roman" w:hAnsi="Times New Roman"/>
              </w:rPr>
              <w:t xml:space="preserve"> (подлинники или засвидетельствованные в нотариальном порядке копии);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реустройства и (или)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планировки переводимого помещения в случае, если переустройство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репланировка требуются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(организ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имеющие свидетел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 о допуске к выполн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нию таких работ, выданное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отрасли).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2) несоблюдение условий перевода жилых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в нежилые помещения: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доступ к переводимому помещению невозможен без использования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щений, обеспечивающих доступ к жилым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ниям, или отсутствует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ническая возможность оборудовать такой доступ к данному помещению;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переводимое помещение является частью жилого помещения либо использ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ется собственником данн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помещения или иным гражданином в качестве места постоянного прож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вания;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в) право собственности на переводимое помещение обременено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г) переводимое помещение расположено выше первого этажа, а помещения, ра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положенные непосредс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 под квартирой,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водимой в нежилое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являются жилыми;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3) несоблюдение условий перевода нежилых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 в жилые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помещение не отвечает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 или отсутствует во</w:t>
            </w:r>
            <w:r w:rsidRPr="00AB79D0">
              <w:rPr>
                <w:rFonts w:ascii="Times New Roman" w:hAnsi="Times New Roman"/>
              </w:rPr>
              <w:t>з</w:t>
            </w:r>
            <w:r w:rsidRPr="00AB79D0">
              <w:rPr>
                <w:rFonts w:ascii="Times New Roman" w:hAnsi="Times New Roman"/>
              </w:rPr>
              <w:t>можность обеспечить соо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ветствие такого помещения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право собственности на такое помещение обрем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4) в случае если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после получения отв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та на межведомственный запрос, свидетельствующ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го об отсутствии документа и (или) информации, нео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ходимых для перевода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в нежилое помещение или нежилого помещения в 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не получило от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вителя такие документы и (или) информацию в теч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пятнадцати рабочих дней со дня направления заявителю уведомления о получении такого ответа и предложения представить необходимые документы</w:t>
            </w:r>
            <w:proofErr w:type="gramEnd"/>
            <w:r w:rsidRPr="00AB79D0">
              <w:rPr>
                <w:rFonts w:ascii="Times New Roman" w:hAnsi="Times New Roman"/>
              </w:rPr>
              <w:t xml:space="preserve"> самостоятельно;</w:t>
            </w:r>
          </w:p>
          <w:p w:rsidR="00AB79D0" w:rsidRPr="00AB79D0" w:rsidRDefault="00AB79D0" w:rsidP="00AB79D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5) несоответствие проекта переустройства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репланировки 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требованиям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конодательства.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560" w:type="dxa"/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посредстве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 при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ном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нии в адм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нистрацию или МФЦ;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отправления;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1577D" w:rsidRPr="00AB79D0" w:rsidRDefault="0081577D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1842"/>
        <w:gridCol w:w="2553"/>
        <w:gridCol w:w="992"/>
        <w:gridCol w:w="1559"/>
        <w:gridCol w:w="1843"/>
        <w:gridCol w:w="2551"/>
      </w:tblGrid>
      <w:tr w:rsidR="00414473" w:rsidRPr="00AB79D0" w:rsidTr="00AB79D0">
        <w:trPr>
          <w:trHeight w:val="2287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тверждающий правомочие заявителя соо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тегории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чие во</w:t>
            </w:r>
            <w:r w:rsidRPr="00AB79D0">
              <w:rPr>
                <w:rFonts w:ascii="Times New Roman" w:hAnsi="Times New Roman"/>
                <w:b/>
              </w:rPr>
              <w:t>з</w:t>
            </w:r>
            <w:r w:rsidRPr="00AB79D0">
              <w:rPr>
                <w:rFonts w:ascii="Times New Roman" w:hAnsi="Times New Roman"/>
                <w:b/>
              </w:rPr>
              <w:t>можн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дачи зая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на пр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телями заяв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Исчерп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вающий п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дачу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8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документа,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551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AB79D0" w:rsidTr="00AB79D0">
        <w:trPr>
          <w:trHeight w:val="236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</w:tcPr>
          <w:p w:rsidR="00444FFA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rPr>
          <w:trHeight w:val="236"/>
        </w:trPr>
        <w:tc>
          <w:tcPr>
            <w:tcW w:w="15417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щение или нежилого помещения в жилое помещение.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</w:t>
            </w:r>
            <w:r w:rsidRPr="00AB79D0">
              <w:rPr>
                <w:rFonts w:ascii="Times New Roman" w:hAnsi="Times New Roman"/>
              </w:rPr>
              <w:t>лица, 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-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 гражданина РФ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  <w:r w:rsidRPr="00AB79D0">
              <w:rPr>
                <w:rFonts w:ascii="Times New Roman" w:hAnsi="Times New Roman"/>
              </w:rPr>
              <w:t>Копии документов, не заверенные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предъявлением ориг</w:t>
            </w:r>
            <w:r w:rsidRPr="00AB79D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ленное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телем соо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ветствующ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вора или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 предусмотрены основной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документ, подтвержда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щий полномочия</w:t>
            </w:r>
            <w:r>
              <w:rPr>
                <w:rFonts w:ascii="Times New Roman" w:hAnsi="Times New Roman"/>
              </w:rPr>
              <w:t xml:space="preserve"> (акт органа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23A3D" w:rsidRPr="00ED1AE5" w:rsidTr="009C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Юридическ</w:t>
            </w:r>
            <w:r>
              <w:rPr>
                <w:rFonts w:ascii="Times New Roman" w:hAnsi="Times New Roman"/>
              </w:rPr>
              <w:t xml:space="preserve">ие лица, </w:t>
            </w:r>
            <w:r w:rsidRPr="00AB79D0">
              <w:rPr>
                <w:rFonts w:ascii="Times New Roman" w:hAnsi="Times New Roman"/>
              </w:rPr>
              <w:t>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физическ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лица действовать от имени заявителя без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323A3D" w:rsidRPr="00ED1AE5" w:rsidTr="009C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6A3506" w:rsidRPr="00AB79D0" w:rsidRDefault="006A3506" w:rsidP="00DD19AE">
      <w:pPr>
        <w:spacing w:line="240" w:lineRule="auto"/>
        <w:rPr>
          <w:rFonts w:ascii="Times New Roman" w:hAnsi="Times New Roman"/>
          <w:b/>
        </w:rPr>
      </w:pPr>
    </w:p>
    <w:p w:rsidR="00DD19AE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60"/>
        <w:gridCol w:w="3543"/>
        <w:gridCol w:w="1418"/>
        <w:gridCol w:w="1275"/>
      </w:tblGrid>
      <w:tr w:rsidR="00DD19AE" w:rsidRPr="00AB79D0" w:rsidTr="0039335D">
        <w:trPr>
          <w:trHeight w:val="1865"/>
        </w:trPr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Колич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ство 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мых э</w:t>
            </w:r>
            <w:r w:rsidRPr="00AB79D0">
              <w:rPr>
                <w:rFonts w:ascii="Times New Roman" w:hAnsi="Times New Roman"/>
                <w:b/>
              </w:rPr>
              <w:t>к</w:t>
            </w:r>
            <w:r w:rsidRPr="00AB79D0">
              <w:rPr>
                <w:rFonts w:ascii="Times New Roman" w:hAnsi="Times New Roman"/>
                <w:b/>
              </w:rPr>
              <w:t>земпл</w:t>
            </w:r>
            <w:r w:rsidRPr="00AB79D0">
              <w:rPr>
                <w:rFonts w:ascii="Times New Roman" w:hAnsi="Times New Roman"/>
                <w:b/>
              </w:rPr>
              <w:t>я</w:t>
            </w:r>
            <w:r w:rsidRPr="00AB79D0">
              <w:rPr>
                <w:rFonts w:ascii="Times New Roman" w:hAnsi="Times New Roman"/>
                <w:b/>
              </w:rPr>
              <w:t>ров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 с указ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подли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предоста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ляемый по условию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Форма (шаблон) документа</w:t>
            </w:r>
            <w:r w:rsidR="00323A3D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5" w:type="dxa"/>
          </w:tcPr>
          <w:p w:rsidR="00DD19AE" w:rsidRPr="00323A3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та/заполнения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proofErr w:type="gramStart"/>
            <w:r w:rsidR="00323A3D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DD19AE" w:rsidRPr="00AB79D0" w:rsidTr="0039335D"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c>
          <w:tcPr>
            <w:tcW w:w="15275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BA052C" w:rsidRPr="00AB79D0" w:rsidTr="0039335D">
        <w:trPr>
          <w:trHeight w:val="675"/>
        </w:trPr>
        <w:tc>
          <w:tcPr>
            <w:tcW w:w="534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79D0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9A7463" w:rsidRPr="00AB79D0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заявление;</w:t>
            </w:r>
          </w:p>
          <w:p w:rsidR="00F04A3E" w:rsidRPr="00AB79D0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AB79D0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52C" w:rsidRPr="00AB79D0" w:rsidRDefault="00323A3D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ник </w:t>
            </w:r>
          </w:p>
        </w:tc>
        <w:tc>
          <w:tcPr>
            <w:tcW w:w="1560" w:type="dxa"/>
          </w:tcPr>
          <w:p w:rsidR="00BA052C" w:rsidRPr="00AB79D0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В письменном заявлении должна быть указана информация о заяв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теле (Ф.И.О., паспортные данные, адрес места регистрации, контак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ный телефон (телефон указывается по желанию).</w:t>
            </w:r>
            <w:proofErr w:type="gramEnd"/>
            <w:r w:rsidRPr="00AB79D0">
              <w:rPr>
                <w:rFonts w:ascii="Times New Roman" w:hAnsi="Times New Roman"/>
              </w:rPr>
              <w:t xml:space="preserve"> Заявление должно быть подписано заявителем.</w:t>
            </w:r>
          </w:p>
          <w:p w:rsidR="00BA052C" w:rsidRPr="00AB79D0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BA052C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AB79D0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Прилож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ние №</w:t>
            </w:r>
          </w:p>
        </w:tc>
      </w:tr>
      <w:tr w:rsidR="00FF2559" w:rsidRPr="00AB79D0" w:rsidTr="00323A3D">
        <w:trPr>
          <w:trHeight w:val="1695"/>
        </w:trPr>
        <w:tc>
          <w:tcPr>
            <w:tcW w:w="534" w:type="dxa"/>
          </w:tcPr>
          <w:p w:rsidR="00FF2559" w:rsidRPr="00AB79D0" w:rsidRDefault="0060498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FF2559" w:rsidRPr="00AB79D0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танавл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вающие документы</w:t>
            </w:r>
          </w:p>
        </w:tc>
        <w:tc>
          <w:tcPr>
            <w:tcW w:w="4536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правоустанавливающие документы на пер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водимое помещение</w:t>
            </w:r>
          </w:p>
          <w:p w:rsidR="007906AA" w:rsidRPr="00AB79D0" w:rsidRDefault="007906AA" w:rsidP="00323A3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AB79D0" w:rsidRDefault="00323A3D" w:rsidP="00323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AB79D0">
              <w:rPr>
                <w:rFonts w:ascii="Times New Roman" w:hAnsi="Times New Roman"/>
              </w:rPr>
              <w:t>(подли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ники или засвид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тельств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ванные в нотар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альном порядке копии)</w:t>
            </w:r>
          </w:p>
        </w:tc>
        <w:tc>
          <w:tcPr>
            <w:tcW w:w="1560" w:type="dxa"/>
          </w:tcPr>
          <w:p w:rsidR="00FF2559" w:rsidRPr="00AB79D0" w:rsidRDefault="00323A3D" w:rsidP="00323A3D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если право на переводимое помещение не зарегистр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ровано в Едином гос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дарственном реестре прав на недвиж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мое имущес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отсутствие в документах прип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 xml:space="preserve">правлений; 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AB79D0">
              <w:rPr>
                <w:rFonts w:ascii="Times New Roman" w:hAnsi="Times New Roman"/>
              </w:rPr>
              <w:t>гелевой</w:t>
            </w:r>
            <w:proofErr w:type="spellEnd"/>
            <w:r w:rsidRPr="00AB79D0">
              <w:rPr>
                <w:rFonts w:ascii="Times New Roman" w:hAnsi="Times New Roman"/>
              </w:rPr>
              <w:t xml:space="preserve"> ручкой или при помощи средств электронно-вычислительной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ники</w:t>
            </w:r>
            <w:proofErr w:type="gramStart"/>
            <w:r w:rsidRPr="00AB79D0">
              <w:rPr>
                <w:rFonts w:ascii="Times New Roman" w:hAnsi="Times New Roman"/>
              </w:rPr>
              <w:t>.</w:t>
            </w:r>
            <w:r w:rsidR="008C3DCC" w:rsidRPr="00AB79D0">
              <w:rPr>
                <w:rFonts w:ascii="Times New Roman" w:hAnsi="Times New Roman"/>
              </w:rPr>
              <w:t>;</w:t>
            </w:r>
            <w:proofErr w:type="gramEnd"/>
          </w:p>
          <w:p w:rsidR="00FF2559" w:rsidRPr="00323A3D" w:rsidRDefault="008C3DCC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Копии документов, не завере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ные надлежащим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</w:t>
            </w:r>
            <w:r w:rsidRPr="00AB79D0">
              <w:rPr>
                <w:rFonts w:ascii="Times New Roman" w:hAnsi="Times New Roman"/>
              </w:rPr>
              <w:t>в</w:t>
            </w:r>
            <w:r w:rsidR="00323A3D">
              <w:rPr>
                <w:rFonts w:ascii="Times New Roman" w:hAnsi="Times New Roman"/>
              </w:rPr>
              <w:t>лением оригиналов.</w:t>
            </w:r>
          </w:p>
        </w:tc>
        <w:tc>
          <w:tcPr>
            <w:tcW w:w="1418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23A3D" w:rsidRPr="00AB79D0" w:rsidTr="0039335D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323A3D" w:rsidRPr="00AB79D0" w:rsidRDefault="00323A3D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ровки</w:t>
            </w:r>
          </w:p>
        </w:tc>
        <w:tc>
          <w:tcPr>
            <w:tcW w:w="4536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переустройства и (или) перепланировки переводимого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щения </w:t>
            </w:r>
          </w:p>
          <w:p w:rsidR="00323A3D" w:rsidRPr="00AB79D0" w:rsidRDefault="00323A3D" w:rsidP="0039335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323A3D" w:rsidRPr="00AB79D0" w:rsidRDefault="00323A3D" w:rsidP="00323A3D">
            <w:pPr>
              <w:pStyle w:val="ad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</w:t>
            </w:r>
            <w:proofErr w:type="gramStart"/>
            <w:r w:rsidRPr="00AB79D0">
              <w:rPr>
                <w:rFonts w:ascii="Times New Roman" w:hAnsi="Times New Roman"/>
              </w:rPr>
              <w:t>,</w:t>
            </w:r>
            <w:proofErr w:type="gramEnd"/>
            <w:r w:rsidRPr="00AB79D0">
              <w:rPr>
                <w:rFonts w:ascii="Times New Roman" w:hAnsi="Times New Roman"/>
              </w:rPr>
              <w:t xml:space="preserve"> если переустро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ство и (или) переплан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ровка треб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ются для обеспечения использов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ния такого помещения в качестве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мещения </w:t>
            </w:r>
          </w:p>
        </w:tc>
        <w:tc>
          <w:tcPr>
            <w:tcW w:w="3543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готовится </w:t>
            </w:r>
            <w:r w:rsidRPr="00AB79D0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ей</w:t>
            </w:r>
            <w:r w:rsidRPr="00AB79D0">
              <w:rPr>
                <w:rFonts w:ascii="Times New Roman" w:hAnsi="Times New Roman"/>
              </w:rPr>
              <w:t>, имею</w:t>
            </w:r>
            <w:r>
              <w:rPr>
                <w:rFonts w:ascii="Times New Roman" w:hAnsi="Times New Roman"/>
              </w:rPr>
              <w:t>щ</w:t>
            </w:r>
            <w:r w:rsidRPr="00AB79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 xml:space="preserve"> свидетельство о допуске к выполнению таких работ, в</w:t>
            </w:r>
            <w:r w:rsidRPr="00AB79D0">
              <w:rPr>
                <w:rFonts w:ascii="Times New Roman" w:hAnsi="Times New Roman"/>
              </w:rPr>
              <w:t>ы</w:t>
            </w:r>
            <w:r w:rsidRPr="00AB79D0">
              <w:rPr>
                <w:rFonts w:ascii="Times New Roman" w:hAnsi="Times New Roman"/>
              </w:rPr>
              <w:t>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</w:t>
            </w:r>
            <w:r w:rsidRPr="00AB79D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ли.</w:t>
            </w:r>
          </w:p>
        </w:tc>
        <w:tc>
          <w:tcPr>
            <w:tcW w:w="1418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AB79D0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323A3D" w:rsidRPr="00AB79D0" w:rsidTr="00B06B57">
        <w:trPr>
          <w:trHeight w:val="2287"/>
        </w:trPr>
        <w:tc>
          <w:tcPr>
            <w:tcW w:w="1101" w:type="dxa"/>
          </w:tcPr>
          <w:p w:rsidR="00323A3D" w:rsidRPr="00BD0FB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зиты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логич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/>
                <w:b/>
              </w:rPr>
              <w:t>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</w:t>
            </w:r>
            <w:proofErr w:type="gramEnd"/>
            <w:r w:rsidRPr="00ED1AE5">
              <w:rPr>
                <w:rFonts w:ascii="Times New Roman" w:hAnsi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3969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ваемых в рамках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низации),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тронного сервиса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нование вида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275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992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зец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формы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995121" w:rsidRPr="00AB79D0" w:rsidTr="00B06B57">
        <w:trPr>
          <w:trHeight w:val="232"/>
        </w:trPr>
        <w:tc>
          <w:tcPr>
            <w:tcW w:w="11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AB79D0">
        <w:trPr>
          <w:trHeight w:val="232"/>
        </w:trPr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667BB" w:rsidRPr="00AB79D0" w:rsidTr="00B06B57">
        <w:trPr>
          <w:trHeight w:val="232"/>
        </w:trPr>
        <w:tc>
          <w:tcPr>
            <w:tcW w:w="1101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Выписка из Единого государстве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ного реестра прав на недвижимое имущество и сделок с ним о зарегис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рированных правах на объект недв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жимости.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кадастровый номер объекта недвижимости;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AB79D0">
                <w:rPr>
                  <w:rStyle w:val="a4"/>
                  <w:rFonts w:ascii="Times New Roman" w:hAnsi="Times New Roman"/>
                  <w:color w:val="auto"/>
                </w:rPr>
                <w:t>ОКАТО</w:t>
              </w:r>
            </w:hyperlink>
            <w:r w:rsidRPr="00AB79D0">
              <w:rPr>
                <w:rFonts w:ascii="Times New Roman" w:hAnsi="Times New Roman"/>
              </w:rPr>
              <w:t>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район, город, населенный пункт, улица, дом, корпус, строение, ква</w:t>
            </w:r>
            <w:r w:rsidRPr="00AB79D0">
              <w:rPr>
                <w:rFonts w:ascii="Times New Roman" w:hAnsi="Times New Roman"/>
              </w:rPr>
              <w:t>р</w:t>
            </w:r>
            <w:r w:rsidR="00323A3D">
              <w:rPr>
                <w:rFonts w:ascii="Times New Roman" w:hAnsi="Times New Roman"/>
              </w:rPr>
              <w:t>тира.</w:t>
            </w:r>
          </w:p>
          <w:p w:rsidR="003667BB" w:rsidRPr="00AB79D0" w:rsidRDefault="003667BB" w:rsidP="001A1F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667BB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667BB" w:rsidRPr="00AB79D0" w:rsidRDefault="003667BB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Управление Фед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 рабочих дней</w:t>
            </w: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B06B57">
        <w:trPr>
          <w:trHeight w:val="232"/>
        </w:trPr>
        <w:tc>
          <w:tcPr>
            <w:tcW w:w="1101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23A3D" w:rsidRPr="00AB79D0" w:rsidRDefault="00323A3D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План переводимого помещения с его техническим описанием (в случае, если переводимое помещение является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лым, технического паспорта такого помещения) и поэтажного плана дома, в котором находится переводимое п</w:t>
            </w:r>
            <w:r w:rsidRPr="00AB79D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мещение</w:t>
            </w:r>
          </w:p>
        </w:tc>
        <w:tc>
          <w:tcPr>
            <w:tcW w:w="1701" w:type="dxa"/>
            <w:vMerge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23A3D" w:rsidRPr="00AB79D0" w:rsidRDefault="00323A3D" w:rsidP="009C240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23A3D" w:rsidRPr="00AB79D0" w:rsidRDefault="00323A3D" w:rsidP="00323A3D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Орган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 объектов кап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134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23A3D" w:rsidRPr="00AB79D0" w:rsidRDefault="00323A3D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410"/>
        <w:gridCol w:w="1842"/>
        <w:gridCol w:w="1701"/>
        <w:gridCol w:w="1701"/>
        <w:gridCol w:w="2127"/>
        <w:gridCol w:w="1275"/>
        <w:gridCol w:w="1559"/>
      </w:tblGrid>
      <w:tr w:rsidR="00C369B5" w:rsidRPr="00AB79D0" w:rsidTr="00887A33">
        <w:trPr>
          <w:trHeight w:val="1559"/>
        </w:trPr>
        <w:tc>
          <w:tcPr>
            <w:tcW w:w="534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мент/документы, являющиеся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Требования к 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  <w:r w:rsidR="00887A33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842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Характерист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AB79D0">
              <w:rPr>
                <w:rFonts w:ascii="Times New Roman" w:hAnsi="Times New Roman"/>
                <w:b/>
              </w:rPr>
              <w:t>положител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ный</w:t>
            </w:r>
            <w:proofErr w:type="gramEnd"/>
            <w:r w:rsidRPr="00AB79D0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</w:t>
            </w:r>
            <w:r w:rsidR="00FC3C26" w:rsidRPr="00AB79D0">
              <w:rPr>
                <w:rFonts w:ascii="Times New Roman" w:hAnsi="Times New Roman"/>
                <w:b/>
              </w:rPr>
              <w:t>а док</w:t>
            </w:r>
            <w:r w:rsidR="00FC3C26" w:rsidRPr="00AB79D0">
              <w:rPr>
                <w:rFonts w:ascii="Times New Roman" w:hAnsi="Times New Roman"/>
                <w:b/>
              </w:rPr>
              <w:t>у</w:t>
            </w:r>
            <w:r w:rsidR="00FC3C26" w:rsidRPr="00AB79D0">
              <w:rPr>
                <w:rFonts w:ascii="Times New Roman" w:hAnsi="Times New Roman"/>
                <w:b/>
              </w:rPr>
              <w:t>ме</w:t>
            </w:r>
            <w:r w:rsidR="00FC3C26" w:rsidRPr="00AB79D0">
              <w:rPr>
                <w:rFonts w:ascii="Times New Roman" w:hAnsi="Times New Roman"/>
                <w:b/>
              </w:rPr>
              <w:t>н</w:t>
            </w:r>
            <w:r w:rsidR="00FC3C26" w:rsidRPr="00AB79D0">
              <w:rPr>
                <w:rFonts w:ascii="Times New Roman" w:hAnsi="Times New Roman"/>
                <w:b/>
              </w:rPr>
              <w:t>та/документов, являющих</w:t>
            </w:r>
            <w:r w:rsidRPr="00AB79D0">
              <w:rPr>
                <w:rFonts w:ascii="Times New Roman" w:hAnsi="Times New Roman"/>
                <w:b/>
              </w:rPr>
              <w:t>ся результатом «подуслуги»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127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Срок хранения невостр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бованных заявителем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зультатов</w:t>
            </w:r>
            <w:proofErr w:type="gramStart"/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C369B5" w:rsidRPr="00AB79D0" w:rsidTr="00887A33">
        <w:trPr>
          <w:trHeight w:val="377"/>
        </w:trPr>
        <w:tc>
          <w:tcPr>
            <w:tcW w:w="534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B79D0" w:rsidTr="00887A33">
        <w:tc>
          <w:tcPr>
            <w:tcW w:w="534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887A33"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23A3D" w:rsidRPr="00AB79D0" w:rsidTr="00887A33">
        <w:trPr>
          <w:trHeight w:val="2581"/>
        </w:trPr>
        <w:tc>
          <w:tcPr>
            <w:tcW w:w="534" w:type="dxa"/>
          </w:tcPr>
          <w:p w:rsidR="00323A3D" w:rsidRPr="00AB79D0" w:rsidRDefault="00887A33" w:rsidP="00887A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жилого (н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жилого) помещения в нежилое (жилое) помещение.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</w:tcPr>
          <w:p w:rsidR="00323A3D" w:rsidRPr="00AB79D0" w:rsidRDefault="00887A3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323A3D" w:rsidRPr="00AB79D0">
              <w:rPr>
                <w:rFonts w:ascii="Times New Roman" w:hAnsi="Times New Roman"/>
              </w:rPr>
              <w:t>, почтовое отправл</w:t>
            </w:r>
            <w:r w:rsidR="00323A3D" w:rsidRPr="00AB79D0">
              <w:rPr>
                <w:rFonts w:ascii="Times New Roman" w:hAnsi="Times New Roman"/>
              </w:rPr>
              <w:t>е</w:t>
            </w:r>
            <w:r w:rsidR="00323A3D" w:rsidRPr="00AB79D0">
              <w:rPr>
                <w:rFonts w:ascii="Times New Roman" w:hAnsi="Times New Roman"/>
              </w:rPr>
              <w:t>ние, МФЦ, в эле</w:t>
            </w:r>
            <w:r w:rsidR="00323A3D" w:rsidRPr="00AB79D0">
              <w:rPr>
                <w:rFonts w:ascii="Times New Roman" w:hAnsi="Times New Roman"/>
              </w:rPr>
              <w:t>к</w:t>
            </w:r>
            <w:r w:rsidR="00323A3D" w:rsidRPr="00AB79D0">
              <w:rPr>
                <w:rFonts w:ascii="Times New Roman" w:hAnsi="Times New Roman"/>
              </w:rPr>
              <w:t xml:space="preserve">тронном виде через личный кабинет. </w:t>
            </w:r>
            <w:proofErr w:type="gramStart"/>
            <w:r w:rsidR="00323A3D" w:rsidRPr="00AB79D0">
              <w:rPr>
                <w:rFonts w:ascii="Times New Roman" w:hAnsi="Times New Roman"/>
              </w:rPr>
              <w:t>Одним из способов, указанном в зая</w:t>
            </w:r>
            <w:r w:rsidR="00323A3D" w:rsidRPr="00AB79D0">
              <w:rPr>
                <w:rFonts w:ascii="Times New Roman" w:hAnsi="Times New Roman"/>
              </w:rPr>
              <w:t>в</w:t>
            </w:r>
            <w:r w:rsidR="00323A3D" w:rsidRPr="00AB79D0">
              <w:rPr>
                <w:rFonts w:ascii="Times New Roman" w:hAnsi="Times New Roman"/>
              </w:rPr>
              <w:t>лении.</w:t>
            </w:r>
            <w:proofErr w:type="gramEnd"/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887A33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об отказе в переводе жилого (нежилого) помещения в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  <w:r>
              <w:rPr>
                <w:rFonts w:ascii="Times New Roman" w:hAnsi="Times New Roman"/>
              </w:rPr>
              <w:t xml:space="preserve">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чие основание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323A3D" w:rsidRPr="00AB79D0" w:rsidRDefault="00323A3D" w:rsidP="009C24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9C24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3610F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bookmarkStart w:id="1" w:name="_GoBack"/>
      <w:bookmarkEnd w:id="1"/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418"/>
        <w:gridCol w:w="1984"/>
        <w:gridCol w:w="1418"/>
        <w:gridCol w:w="1353"/>
      </w:tblGrid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процед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Сроки 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Исполнитель процедуры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Ресурсы, необход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мые для выполн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проц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  <w:r w:rsidR="00887A33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353" w:type="dxa"/>
          </w:tcPr>
          <w:p w:rsidR="005D4742" w:rsidRPr="00887A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Формы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тов, нео</w:t>
            </w:r>
            <w:r w:rsidRPr="00AB79D0">
              <w:rPr>
                <w:rFonts w:ascii="Times New Roman" w:hAnsi="Times New Roman"/>
                <w:b/>
              </w:rPr>
              <w:t>б</w:t>
            </w:r>
            <w:r w:rsidRPr="00AB79D0">
              <w:rPr>
                <w:rFonts w:ascii="Times New Roman" w:hAnsi="Times New Roman"/>
                <w:b/>
              </w:rPr>
              <w:t>ходимых для в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полнения процедуры процесса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353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87A33" w:rsidRPr="00AB79D0" w:rsidTr="00AB79D0">
        <w:tc>
          <w:tcPr>
            <w:tcW w:w="14786" w:type="dxa"/>
            <w:gridSpan w:val="7"/>
          </w:tcPr>
          <w:p w:rsidR="00887A33" w:rsidRPr="00AB79D0" w:rsidRDefault="00887A33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887A33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0A65AF" w:rsidRPr="00AB79D0" w:rsidTr="00A43B91">
        <w:trPr>
          <w:trHeight w:val="2262"/>
        </w:trPr>
        <w:tc>
          <w:tcPr>
            <w:tcW w:w="531" w:type="dxa"/>
          </w:tcPr>
          <w:p w:rsidR="001B4A00" w:rsidRPr="00AB79D0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B06B57" w:rsidRPr="00AB79D0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Прием и регистрация зая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ления и прилагаемых к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му документов.</w:t>
            </w:r>
          </w:p>
          <w:p w:rsidR="001B4A00" w:rsidRPr="00AB79D0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ряющий личность заявителя;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полномочия заявителя, в том числе по</w:t>
            </w:r>
            <w:r w:rsidRPr="00AB79D0">
              <w:rPr>
                <w:rFonts w:ascii="Times New Roman" w:hAnsi="Times New Roman"/>
              </w:rPr>
              <w:t>л</w:t>
            </w:r>
            <w:r w:rsidRPr="00AB79D0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представленных докуме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тов следующим требованиям: документы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законодательством случаях нотариально удостоверены, скреплены печатями, имеют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AB79D0">
              <w:rPr>
                <w:rFonts w:ascii="Times New Roman" w:hAnsi="Times New Roman"/>
              </w:rPr>
              <w:t>ж</w:t>
            </w:r>
            <w:r w:rsidRPr="00AB79D0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37"/>
            <w:bookmarkEnd w:id="2"/>
            <w:r w:rsidRPr="00AB79D0">
              <w:rPr>
                <w:rFonts w:ascii="Times New Roman" w:hAnsi="Times New Roman"/>
              </w:rPr>
              <w:t>- выдает расписку в получении документов по уст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новленной форме с указанием перечня документов, а также с указанием перечня документов, которые 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дут получены по межведомственным запросам.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71"/>
            <w:bookmarkEnd w:id="3"/>
            <w:r w:rsidRPr="00AB79D0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ванное заявление передается с сопроводительным письмом в адрес управления в течение одного раб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чего дня с момента регистрации.</w:t>
            </w:r>
          </w:p>
          <w:p w:rsidR="002B1457" w:rsidRPr="00AB79D0" w:rsidRDefault="00941B21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 наличии оснований для отказа в приеме док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ментов заявитель уведомляется о наличии препятс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вий к принятию документов, </w:t>
            </w:r>
            <w:r w:rsidR="00342FD2" w:rsidRPr="00AB79D0">
              <w:rPr>
                <w:rFonts w:ascii="Times New Roman" w:hAnsi="Times New Roman"/>
              </w:rPr>
              <w:t xml:space="preserve">специалист </w:t>
            </w:r>
            <w:r w:rsidRPr="00AB79D0">
              <w:rPr>
                <w:rFonts w:ascii="Times New Roman" w:hAnsi="Times New Roman"/>
              </w:rPr>
              <w:t>возвращает документы, объясняет заявителю содержание выя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418" w:type="dxa"/>
          </w:tcPr>
          <w:p w:rsidR="00D361AD" w:rsidRPr="00AB79D0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984" w:type="dxa"/>
          </w:tcPr>
          <w:p w:rsidR="00887A3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Специалист </w:t>
            </w:r>
            <w:r w:rsidR="00B73F27" w:rsidRPr="00AB79D0">
              <w:rPr>
                <w:rFonts w:ascii="Times New Roman" w:hAnsi="Times New Roman"/>
              </w:rPr>
              <w:t>адм</w:t>
            </w:r>
            <w:r w:rsidR="00B73F27" w:rsidRPr="00AB79D0">
              <w:rPr>
                <w:rFonts w:ascii="Times New Roman" w:hAnsi="Times New Roman"/>
              </w:rPr>
              <w:t>и</w:t>
            </w:r>
            <w:r w:rsidR="00B73F27" w:rsidRPr="00AB79D0">
              <w:rPr>
                <w:rFonts w:ascii="Times New Roman" w:hAnsi="Times New Roman"/>
              </w:rPr>
              <w:t>нистрации</w:t>
            </w:r>
            <w:r w:rsidRPr="00AB79D0">
              <w:rPr>
                <w:rFonts w:ascii="Times New Roman" w:hAnsi="Times New Roman"/>
              </w:rPr>
              <w:t xml:space="preserve">, </w:t>
            </w:r>
          </w:p>
          <w:p w:rsidR="00D361AD" w:rsidRPr="00AB79D0" w:rsidRDefault="00887A33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="000A65AF" w:rsidRPr="00AB79D0">
              <w:rPr>
                <w:rFonts w:ascii="Times New Roman" w:hAnsi="Times New Roman"/>
              </w:rPr>
              <w:t>МФЦ</w:t>
            </w:r>
          </w:p>
        </w:tc>
        <w:tc>
          <w:tcPr>
            <w:tcW w:w="1418" w:type="dxa"/>
          </w:tcPr>
          <w:p w:rsidR="002B1457" w:rsidRPr="00AB79D0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2B1457" w:rsidRPr="00AB79D0" w:rsidRDefault="000A65AF" w:rsidP="00A30529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Прило</w:t>
            </w:r>
            <w:r w:rsidR="00887A33">
              <w:rPr>
                <w:rFonts w:ascii="Times New Roman" w:hAnsi="Times New Roman"/>
              </w:rPr>
              <w:t>ж</w:t>
            </w:r>
            <w:r w:rsidR="00887A33">
              <w:rPr>
                <w:rFonts w:ascii="Times New Roman" w:hAnsi="Times New Roman"/>
              </w:rPr>
              <w:t>е</w:t>
            </w:r>
            <w:r w:rsidR="00887A33">
              <w:rPr>
                <w:rFonts w:ascii="Times New Roman" w:hAnsi="Times New Roman"/>
              </w:rPr>
              <w:t>ние №</w:t>
            </w:r>
          </w:p>
          <w:p w:rsidR="002B1457" w:rsidRPr="00AB79D0" w:rsidRDefault="002B1457" w:rsidP="00A30529">
            <w:pPr>
              <w:pStyle w:val="ad"/>
              <w:jc w:val="both"/>
            </w:pPr>
          </w:p>
          <w:p w:rsidR="002B1457" w:rsidRPr="00AB79D0" w:rsidRDefault="002B1457" w:rsidP="00A30529">
            <w:pPr>
              <w:pStyle w:val="ad"/>
              <w:jc w:val="both"/>
            </w:pPr>
          </w:p>
          <w:p w:rsidR="00D163C6" w:rsidRPr="00AB79D0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A33" w:rsidRPr="00AB79D0" w:rsidTr="00887A33">
        <w:trPr>
          <w:trHeight w:val="569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административной процедуры:Рассмотрение представ</w:t>
            </w:r>
            <w:r w:rsidRPr="00887A33">
              <w:rPr>
                <w:rFonts w:ascii="Times New Roman" w:hAnsi="Times New Roman"/>
                <w:b/>
              </w:rPr>
              <w:t>ленных документов и принятие решения о переводе (отказе в переводе) жилого (нежилого) пом</w:t>
            </w:r>
            <w:r>
              <w:rPr>
                <w:rFonts w:ascii="Times New Roman" w:hAnsi="Times New Roman"/>
                <w:b/>
              </w:rPr>
              <w:t>ещения в нежилое (жилое) помеще</w:t>
            </w:r>
            <w:r w:rsidRPr="00887A33">
              <w:rPr>
                <w:rFonts w:ascii="Times New Roman" w:hAnsi="Times New Roman"/>
                <w:b/>
              </w:rPr>
              <w:t>ние</w:t>
            </w:r>
          </w:p>
        </w:tc>
      </w:tr>
      <w:tr w:rsidR="000A65AF" w:rsidRPr="00AB79D0" w:rsidTr="00887A33">
        <w:trPr>
          <w:trHeight w:val="278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71C74" w:rsidRPr="00AB79D0" w:rsidRDefault="00171C74" w:rsidP="00171C74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Рассмотрение предста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документов и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нятие решения о переводе (отказе в переводе) жилого (нежилого) помещения в нежилое (жилое)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</w:t>
            </w:r>
          </w:p>
          <w:p w:rsidR="001516B5" w:rsidRPr="00AB79D0" w:rsidRDefault="001516B5" w:rsidP="00171C7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проводит проверку заявления и прил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гаемых документов на соответствие требованиям.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 отсутствия в представленном пакете док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ментов: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выписка из Единого государственного реестра прав на недвижимое имущество и сделок с ним о зарег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стрированных правах на объект недвижимости;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щения);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поэтажный план дома, в котором находится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водимое помещение,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специалист в рамках межведомственного взаим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действия в течение 5 рабочих дней направляет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прос в Управление Федеральной службы государс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венной регистрации, кадастра и картографии по 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ронежской области, в орган технического учета и технической инвентаризации объектов капитального строительства</w:t>
            </w:r>
            <w:proofErr w:type="gramStart"/>
            <w:r w:rsidR="00523DE9" w:rsidRPr="00AB79D0">
              <w:rPr>
                <w:rFonts w:ascii="Times New Roman" w:hAnsi="Times New Roman"/>
              </w:rPr>
              <w:t>.</w:t>
            </w:r>
            <w:r w:rsidRPr="00AB79D0">
              <w:rPr>
                <w:rFonts w:ascii="Times New Roman" w:hAnsi="Times New Roman"/>
              </w:rPr>
              <w:t>П</w:t>
            </w:r>
            <w:proofErr w:type="gramEnd"/>
            <w:r w:rsidRPr="00AB79D0">
              <w:rPr>
                <w:rFonts w:ascii="Times New Roman" w:hAnsi="Times New Roman"/>
              </w:rPr>
              <w:t>о результатам полученных сведений (документов) специалист осуществляет проверку документов, представленных заявителем.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В случае поступления в управление ответа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 Федеральной службы государственной 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рации, кадастра и картографии по Воронежской 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ласти или (и) органа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инвентаризации объектов капитального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 на межведомственный запрос, свидетельс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вующего об отсутствии документа и (или) информ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</w:t>
            </w:r>
            <w:proofErr w:type="gramEnd"/>
            <w:r w:rsidRPr="00AB79D0">
              <w:rPr>
                <w:rFonts w:ascii="Times New Roman" w:hAnsi="Times New Roman"/>
              </w:rPr>
              <w:t xml:space="preserve"> предлагает заявителю представить документ и (или) информацию, необх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димые для перевода жилого помещения в нежилое помещение или нежилого помещения в жилое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в течение пятнадцати рабочих дней со дня направления уведомления.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4" w:name="sub_335"/>
            <w:bookmarkEnd w:id="4"/>
            <w:r w:rsidRPr="00AB79D0">
              <w:rPr>
                <w:rFonts w:ascii="Times New Roman" w:hAnsi="Times New Roman"/>
              </w:rPr>
              <w:t>В случае отсутствия оснований</w:t>
            </w:r>
            <w:r w:rsidR="00523DE9" w:rsidRPr="00AB79D0">
              <w:rPr>
                <w:rFonts w:ascii="Times New Roman" w:hAnsi="Times New Roman"/>
              </w:rPr>
              <w:t xml:space="preserve"> для отказа в предо</w:t>
            </w:r>
            <w:r w:rsidR="00523DE9" w:rsidRPr="00AB79D0">
              <w:rPr>
                <w:rFonts w:ascii="Times New Roman" w:hAnsi="Times New Roman"/>
              </w:rPr>
              <w:t>с</w:t>
            </w:r>
            <w:r w:rsidR="00523DE9" w:rsidRPr="00AB79D0">
              <w:rPr>
                <w:rFonts w:ascii="Times New Roman" w:hAnsi="Times New Roman"/>
              </w:rPr>
              <w:t xml:space="preserve">тавлении услуги </w:t>
            </w:r>
            <w:r w:rsidR="00A43B91" w:rsidRPr="00AB79D0">
              <w:rPr>
                <w:rFonts w:ascii="Times New Roman" w:hAnsi="Times New Roman"/>
              </w:rPr>
              <w:t>п</w:t>
            </w:r>
            <w:r w:rsidRPr="00AB79D0">
              <w:rPr>
                <w:rFonts w:ascii="Times New Roman" w:hAnsi="Times New Roman"/>
              </w:rPr>
              <w:t>ринимается решение о переводе жилого (нежилого) помещения в нежилое (жилое) помещение.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5" w:name="sub_3351"/>
            <w:bookmarkEnd w:id="5"/>
            <w:r w:rsidRPr="00AB79D0">
              <w:rPr>
                <w:rFonts w:ascii="Times New Roman" w:hAnsi="Times New Roman"/>
              </w:rPr>
              <w:t xml:space="preserve">В случае наличия </w:t>
            </w:r>
            <w:r w:rsidR="00523DE9" w:rsidRPr="00AB79D0">
              <w:rPr>
                <w:rFonts w:ascii="Times New Roman" w:hAnsi="Times New Roman"/>
              </w:rPr>
              <w:t xml:space="preserve">таких </w:t>
            </w:r>
            <w:r w:rsidRPr="00AB79D0">
              <w:rPr>
                <w:rFonts w:ascii="Times New Roman" w:hAnsi="Times New Roman"/>
              </w:rPr>
              <w:t>оснований принимается 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шение об отказе в переводе жилого (нежилого)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в нежилое (жилое) помещение.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6" w:name="sub_336"/>
            <w:bookmarkEnd w:id="6"/>
            <w:r w:rsidRPr="00AB79D0">
              <w:rPr>
                <w:rFonts w:ascii="Times New Roman" w:hAnsi="Times New Roman"/>
              </w:rPr>
              <w:t>По результатам принятого решения специалист</w:t>
            </w:r>
            <w:bookmarkStart w:id="7" w:name="sub_337"/>
            <w:bookmarkEnd w:id="7"/>
            <w:r w:rsidR="00523DE9" w:rsidRPr="00AB79D0">
              <w:rPr>
                <w:rFonts w:ascii="Times New Roman" w:hAnsi="Times New Roman"/>
              </w:rPr>
              <w:t>г</w:t>
            </w:r>
            <w:r w:rsidRPr="00AB79D0">
              <w:rPr>
                <w:rFonts w:ascii="Times New Roman" w:hAnsi="Times New Roman"/>
              </w:rPr>
              <w:t>от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вит проект приказа и уведомление о переводе или об отказе в переводе жилого (нежилого) помещения в нежилое (жилое) помещение по форме</w:t>
            </w:r>
            <w:r w:rsidR="00523DE9" w:rsidRPr="00AB79D0">
              <w:rPr>
                <w:rFonts w:ascii="Times New Roman" w:hAnsi="Times New Roman"/>
              </w:rPr>
              <w:t>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8" w:name="sub_3371"/>
            <w:bookmarkEnd w:id="8"/>
            <w:r w:rsidRPr="00AB79D0">
              <w:rPr>
                <w:rFonts w:ascii="Times New Roman" w:hAnsi="Times New Roman"/>
              </w:rPr>
              <w:t xml:space="preserve">   В</w:t>
            </w:r>
            <w:r w:rsidR="00342FD2" w:rsidRPr="00AB79D0">
              <w:rPr>
                <w:rFonts w:ascii="Times New Roman" w:hAnsi="Times New Roman"/>
              </w:rPr>
              <w:t xml:space="preserve"> случае отказа в переводе указываются причины, послужившие основанием для отказа в переводе ж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лого (нежилого) помещения в нежилое (жилое) п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 xml:space="preserve">мещение, с обязательной ссылкой на нарушения, предусмотренные </w:t>
            </w:r>
            <w:hyperlink r:id="rId9" w:history="1">
              <w:r w:rsidR="00342FD2" w:rsidRPr="00AB79D0">
                <w:rPr>
                  <w:rStyle w:val="a4"/>
                  <w:rFonts w:ascii="Times New Roman" w:hAnsi="Times New Roman"/>
                  <w:color w:val="auto"/>
                </w:rPr>
                <w:t>частью 1 статьи 24</w:t>
              </w:r>
            </w:hyperlink>
            <w:r w:rsidR="00342FD2" w:rsidRPr="00AB79D0">
              <w:rPr>
                <w:rFonts w:ascii="Times New Roman" w:hAnsi="Times New Roman"/>
              </w:rPr>
              <w:t xml:space="preserve"> Жилищного кодекса Российской Федерации;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 случае необходимости проведения переустройс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ва и (или) перепланировки переводимого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ния, и (или) иных работ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42FD2" w:rsidRPr="00AB79D0" w:rsidRDefault="00523DE9" w:rsidP="00A43B91">
            <w:pPr>
              <w:pStyle w:val="ad"/>
              <w:rPr>
                <w:rFonts w:ascii="Times New Roman" w:hAnsi="Times New Roman"/>
              </w:rPr>
            </w:pPr>
            <w:bookmarkStart w:id="9" w:name="sub_3372"/>
            <w:bookmarkEnd w:id="9"/>
            <w:r w:rsidRPr="00AB79D0">
              <w:rPr>
                <w:rFonts w:ascii="Times New Roman" w:hAnsi="Times New Roman"/>
              </w:rPr>
              <w:t>Специалист п</w:t>
            </w:r>
            <w:r w:rsidR="00342FD2" w:rsidRPr="00AB79D0">
              <w:rPr>
                <w:rFonts w:ascii="Times New Roman" w:hAnsi="Times New Roman"/>
              </w:rPr>
              <w:t xml:space="preserve">ередает </w:t>
            </w:r>
            <w:proofErr w:type="gramStart"/>
            <w:r w:rsidR="00342FD2" w:rsidRPr="00AB79D0">
              <w:rPr>
                <w:rFonts w:ascii="Times New Roman" w:hAnsi="Times New Roman"/>
              </w:rPr>
              <w:t>подготовленные</w:t>
            </w:r>
            <w:proofErr w:type="gramEnd"/>
            <w:r w:rsidR="00342FD2" w:rsidRPr="00AB79D0">
              <w:rPr>
                <w:rFonts w:ascii="Times New Roman" w:hAnsi="Times New Roman"/>
              </w:rPr>
              <w:t xml:space="preserve"> проект прик</w:t>
            </w:r>
            <w:r w:rsidR="00342FD2" w:rsidRPr="00AB79D0">
              <w:rPr>
                <w:rFonts w:ascii="Times New Roman" w:hAnsi="Times New Roman"/>
              </w:rPr>
              <w:t>а</w:t>
            </w:r>
            <w:r w:rsidR="00342FD2" w:rsidRPr="00AB79D0">
              <w:rPr>
                <w:rFonts w:ascii="Times New Roman" w:hAnsi="Times New Roman"/>
              </w:rPr>
              <w:t>за и уведомление на согласование начальнику отд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ла, з</w:t>
            </w:r>
            <w:r w:rsidRPr="00AB79D0">
              <w:rPr>
                <w:rFonts w:ascii="Times New Roman" w:hAnsi="Times New Roman"/>
              </w:rPr>
              <w:t xml:space="preserve">атем на подписание руководителю. </w:t>
            </w:r>
            <w:bookmarkStart w:id="10" w:name="sub_33721"/>
            <w:bookmarkEnd w:id="10"/>
            <w:r w:rsidR="00342FD2" w:rsidRPr="00AB79D0">
              <w:rPr>
                <w:rFonts w:ascii="Times New Roman" w:hAnsi="Times New Roman"/>
              </w:rPr>
              <w:t>Регистрир</w:t>
            </w:r>
            <w:r w:rsidR="00342FD2" w:rsidRPr="00AB79D0">
              <w:rPr>
                <w:rFonts w:ascii="Times New Roman" w:hAnsi="Times New Roman"/>
              </w:rPr>
              <w:t>у</w:t>
            </w:r>
            <w:r w:rsidR="00342FD2" w:rsidRPr="00AB79D0">
              <w:rPr>
                <w:rFonts w:ascii="Times New Roman" w:hAnsi="Times New Roman"/>
              </w:rPr>
              <w:t>ет приказ и уведомление о переводе (отказе в пер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воде) помещения в журнале регистрации приказов управления.</w:t>
            </w:r>
          </w:p>
          <w:p w:rsidR="00301D42" w:rsidRPr="00AB79D0" w:rsidRDefault="00342FD2" w:rsidP="00887A33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 поступлении в управление заявления о переводе жилого (нежилого) в нежилое (жилое) помещения через МФЦ зарегистрированное уведомление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(отказе в переводе) помещения направляется с сопроводительным письмом в адрес МФЦ в день их регистрации в управление.</w:t>
            </w:r>
          </w:p>
        </w:tc>
        <w:tc>
          <w:tcPr>
            <w:tcW w:w="1418" w:type="dxa"/>
          </w:tcPr>
          <w:p w:rsidR="001516B5" w:rsidRPr="00AB79D0" w:rsidRDefault="00342FD2" w:rsidP="00BF77EC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44 </w:t>
            </w:r>
            <w:proofErr w:type="gramStart"/>
            <w:r w:rsidRPr="00AB79D0">
              <w:rPr>
                <w:rFonts w:ascii="Times New Roman" w:hAnsi="Times New Roman"/>
              </w:rPr>
              <w:t>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</w:t>
            </w:r>
            <w:proofErr w:type="gramEnd"/>
            <w:r w:rsidRPr="00AB79D0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984" w:type="dxa"/>
          </w:tcPr>
          <w:p w:rsidR="001516B5" w:rsidRPr="00AB79D0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418" w:type="dxa"/>
          </w:tcPr>
          <w:p w:rsidR="001516B5" w:rsidRPr="00AB79D0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</w:tcPr>
          <w:p w:rsidR="001516B5" w:rsidRPr="00AB79D0" w:rsidRDefault="001516B5" w:rsidP="00887A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887A33" w:rsidRPr="00AB79D0" w:rsidTr="00887A33">
        <w:trPr>
          <w:trHeight w:val="566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</w:t>
            </w:r>
            <w:proofErr w:type="gramStart"/>
            <w:r>
              <w:rPr>
                <w:rFonts w:ascii="Times New Roman" w:hAnsi="Times New Roman"/>
                <w:b/>
              </w:rPr>
              <w:t>:В</w:t>
            </w:r>
            <w:proofErr w:type="gramEnd"/>
            <w:r>
              <w:rPr>
                <w:rFonts w:ascii="Times New Roman" w:hAnsi="Times New Roman"/>
                <w:b/>
              </w:rPr>
              <w:t>ыдача (направление) за</w:t>
            </w:r>
            <w:r w:rsidRPr="00887A33">
              <w:rPr>
                <w:rFonts w:ascii="Times New Roman" w:hAnsi="Times New Roman"/>
                <w:b/>
              </w:rPr>
              <w:t>явителю уведомления о переводе (отказе в переводе) жилого (нежил</w:t>
            </w:r>
            <w:r w:rsidRPr="00887A33">
              <w:rPr>
                <w:rFonts w:ascii="Times New Roman" w:hAnsi="Times New Roman"/>
                <w:b/>
              </w:rPr>
              <w:t>о</w:t>
            </w:r>
            <w:r w:rsidRPr="00887A33">
              <w:rPr>
                <w:rFonts w:ascii="Times New Roman" w:hAnsi="Times New Roman"/>
                <w:b/>
              </w:rPr>
              <w:t>го) помещения в нежилое (жилое) помещение</w:t>
            </w:r>
          </w:p>
        </w:tc>
      </w:tr>
      <w:tr w:rsidR="000A65AF" w:rsidRPr="00AB79D0" w:rsidTr="00A43B91">
        <w:trPr>
          <w:trHeight w:val="1407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AB79D0" w:rsidRDefault="00171C74" w:rsidP="00A43B91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Выдача (направление)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вителю уведомления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(отказе в переводе) жилого (нежилого)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 в нежилое (жилое) помещение</w:t>
            </w:r>
            <w:proofErr w:type="gramEnd"/>
          </w:p>
        </w:tc>
        <w:tc>
          <w:tcPr>
            <w:tcW w:w="5244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Уведомление о переводе (отказе в переводе) жил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(нежилого) помещения в нежилое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 направляется по адресу, указанному в заявл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нии, либо выдается заявителю лично на приеме или в МФЦ.</w:t>
            </w:r>
          </w:p>
        </w:tc>
        <w:tc>
          <w:tcPr>
            <w:tcW w:w="1418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  <w:r w:rsidR="004F740A" w:rsidRPr="00AB79D0">
              <w:rPr>
                <w:rFonts w:ascii="Times New Roman" w:hAnsi="Times New Roman"/>
              </w:rPr>
              <w:t xml:space="preserve"> рабочих дн</w:t>
            </w:r>
            <w:r w:rsidRPr="00AB79D0">
              <w:rPr>
                <w:rFonts w:ascii="Times New Roman" w:hAnsi="Times New Roman"/>
              </w:rPr>
              <w:t>я</w:t>
            </w:r>
          </w:p>
        </w:tc>
        <w:tc>
          <w:tcPr>
            <w:tcW w:w="1984" w:type="dxa"/>
          </w:tcPr>
          <w:p w:rsidR="001516B5" w:rsidRPr="00AB79D0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  <w:r w:rsidR="00A43B91" w:rsidRPr="00AB79D0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1516B5" w:rsidRPr="00AB79D0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1516B5" w:rsidRPr="00AB79D0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AB79D0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1"/>
        <w:gridCol w:w="2145"/>
        <w:gridCol w:w="1974"/>
        <w:gridCol w:w="2356"/>
      </w:tblGrid>
      <w:tr w:rsidR="00887A33" w:rsidRPr="00AB79D0" w:rsidTr="00AB79D0">
        <w:tc>
          <w:tcPr>
            <w:tcW w:w="246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6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2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2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9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14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выполнения запроса о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14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2833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887A33" w:rsidP="00B8047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="00AB79D0" w:rsidRPr="00AB79D0">
              <w:rPr>
                <w:rFonts w:ascii="Times New Roman" w:hAnsi="Times New Roman"/>
              </w:rPr>
              <w:t>фициальный сайт о</w:t>
            </w:r>
            <w:r w:rsidR="00AB79D0" w:rsidRPr="00AB79D0">
              <w:rPr>
                <w:rFonts w:ascii="Times New Roman" w:hAnsi="Times New Roman"/>
              </w:rPr>
              <w:t>р</w:t>
            </w:r>
            <w:r w:rsidR="00AB79D0" w:rsidRPr="00AB79D0">
              <w:rPr>
                <w:rFonts w:ascii="Times New Roman" w:hAnsi="Times New Roman"/>
              </w:rPr>
              <w:t>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</w:tcPr>
          <w:p w:rsidR="00AB79D0" w:rsidRPr="00AB79D0" w:rsidRDefault="00CA1145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321" w:type="dxa"/>
          </w:tcPr>
          <w:p w:rsidR="00AB79D0" w:rsidRPr="00AB79D0" w:rsidRDefault="00AB79D0" w:rsidP="00B80478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  Требуется предо</w:t>
            </w:r>
            <w:r w:rsidRPr="00AB79D0">
              <w:rPr>
                <w:rFonts w:ascii="Times New Roman" w:eastAsia="SimSun" w:hAnsi="Times New Roman"/>
              </w:rPr>
              <w:t>с</w:t>
            </w:r>
            <w:r w:rsidRPr="00AB79D0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AB79D0">
              <w:rPr>
                <w:rFonts w:ascii="Times New Roman" w:eastAsia="SimSun" w:hAnsi="Times New Roman"/>
              </w:rPr>
              <w:t>у</w:t>
            </w:r>
            <w:r w:rsidRPr="00AB79D0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114" w:type="dxa"/>
          </w:tcPr>
          <w:p w:rsidR="00AB79D0" w:rsidRPr="00AB79D0" w:rsidRDefault="00AB79D0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Электронная по</w:t>
            </w:r>
            <w:r w:rsidRPr="00AB79D0">
              <w:rPr>
                <w:rFonts w:ascii="Times New Roman" w:eastAsia="SimSun" w:hAnsi="Times New Roman"/>
              </w:rPr>
              <w:t>ч</w:t>
            </w:r>
            <w:r w:rsidR="00887A33">
              <w:rPr>
                <w:rFonts w:ascii="Times New Roman" w:eastAsia="SimSun" w:hAnsi="Times New Roman"/>
              </w:rPr>
              <w:t>та заявителя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AB79D0" w:rsidRPr="00AB79D0" w:rsidRDefault="00887A33" w:rsidP="00887A33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7F1C">
      <w:pPr>
        <w:spacing w:line="240" w:lineRule="auto"/>
        <w:rPr>
          <w:rFonts w:ascii="Times New Roman" w:hAnsi="Times New Roman"/>
          <w:b/>
        </w:rPr>
      </w:pPr>
    </w:p>
    <w:p w:rsidR="00CA1145" w:rsidRPr="00ED1AE5" w:rsidRDefault="00CA1145" w:rsidP="00CA1145">
      <w:pPr>
        <w:spacing w:after="0" w:line="240" w:lineRule="auto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CA1145" w:rsidRPr="00ED1AE5" w:rsidRDefault="00CA1145" w:rsidP="00CA1145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824F1A" w:rsidRDefault="00824F1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В ______________________________________________________________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от ___________________________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gramStart"/>
      <w:r w:rsidRPr="00824F1A">
        <w:rPr>
          <w:rFonts w:ascii="Times New Roman" w:hAnsi="Times New Roman"/>
          <w:sz w:val="28"/>
          <w:szCs w:val="28"/>
        </w:rPr>
        <w:t xml:space="preserve">(указываются ФИО (отчество при наличии), </w:t>
      </w:r>
      <w:proofErr w:type="gramEnd"/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наименование заявителя,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 xml:space="preserve">ИНН, ОГРН юридического лица, 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ИНН, ОГРНИП индивидуального предпринимателя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_____________________________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_____________________________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Данные документа, удостоверяющего личность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__________________________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Почтовый адрес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__________________________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Адрес электронной почты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__________________________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Контактный телефон (указывается по желанию)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 xml:space="preserve"> 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4F1A">
        <w:rPr>
          <w:rFonts w:ascii="Times New Roman" w:hAnsi="Times New Roman"/>
          <w:bCs/>
          <w:sz w:val="28"/>
          <w:szCs w:val="28"/>
        </w:rPr>
        <w:t>Заявление о предоставлении Муниципальной услуги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 xml:space="preserve"> «Признание садового дома жилым домом и жилого дома садовым домом»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«_____»</w:t>
      </w:r>
      <w:proofErr w:type="spellStart"/>
      <w:r w:rsidRPr="00824F1A">
        <w:rPr>
          <w:rFonts w:ascii="Times New Roman" w:hAnsi="Times New Roman"/>
          <w:sz w:val="28"/>
          <w:szCs w:val="28"/>
        </w:rPr>
        <w:t>______________г</w:t>
      </w:r>
      <w:proofErr w:type="spellEnd"/>
      <w:r w:rsidRPr="00824F1A">
        <w:rPr>
          <w:rFonts w:ascii="Times New Roman" w:hAnsi="Times New Roman"/>
          <w:sz w:val="28"/>
          <w:szCs w:val="28"/>
        </w:rPr>
        <w:t>.                                                  № _____________</w:t>
      </w: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 xml:space="preserve">           Прошу признать садовый дом жилым домом или жилой дом садовым домом (</w:t>
      </w:r>
      <w:proofErr w:type="gramStart"/>
      <w:r w:rsidRPr="00824F1A">
        <w:rPr>
          <w:rFonts w:ascii="Times New Roman" w:hAnsi="Times New Roman"/>
          <w:sz w:val="28"/>
          <w:szCs w:val="28"/>
        </w:rPr>
        <w:t>нужное</w:t>
      </w:r>
      <w:proofErr w:type="gramEnd"/>
      <w:r w:rsidRPr="00824F1A">
        <w:rPr>
          <w:rFonts w:ascii="Times New Roman" w:hAnsi="Times New Roman"/>
          <w:sz w:val="28"/>
          <w:szCs w:val="28"/>
        </w:rPr>
        <w:t xml:space="preserve"> подчеркнуть), расположе</w:t>
      </w:r>
      <w:r w:rsidRPr="00824F1A">
        <w:rPr>
          <w:rFonts w:ascii="Times New Roman" w:hAnsi="Times New Roman"/>
          <w:sz w:val="28"/>
          <w:szCs w:val="28"/>
        </w:rPr>
        <w:t>н</w:t>
      </w:r>
      <w:r w:rsidRPr="00824F1A">
        <w:rPr>
          <w:rFonts w:ascii="Times New Roman" w:hAnsi="Times New Roman"/>
          <w:sz w:val="28"/>
          <w:szCs w:val="28"/>
        </w:rPr>
        <w:t>ный по адресу: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 xml:space="preserve">                                     (месторасположение объекта - адрес)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 xml:space="preserve">                 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Кадастровый номер дома_________________________________________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Кадастровый номер земельного участка ___________________________________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4F1A">
        <w:rPr>
          <w:rFonts w:ascii="Times New Roman" w:hAnsi="Times New Roman"/>
          <w:sz w:val="28"/>
          <w:szCs w:val="28"/>
        </w:rPr>
        <w:t>Принадлежащий</w:t>
      </w:r>
      <w:proofErr w:type="gramEnd"/>
      <w:r w:rsidRPr="00824F1A">
        <w:rPr>
          <w:rFonts w:ascii="Times New Roman" w:hAnsi="Times New Roman"/>
          <w:sz w:val="28"/>
          <w:szCs w:val="28"/>
        </w:rPr>
        <w:t xml:space="preserve"> мне на праве: ________________________________________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На основании:_______________________________________________________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Перечень прилагаемых к заявлению документов: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1.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2.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3.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Результат Муниципальной услуги прошу (</w:t>
      </w:r>
      <w:proofErr w:type="gramStart"/>
      <w:r w:rsidRPr="00824F1A">
        <w:rPr>
          <w:rFonts w:ascii="Times New Roman" w:hAnsi="Times New Roman"/>
          <w:sz w:val="28"/>
          <w:szCs w:val="28"/>
        </w:rPr>
        <w:t>нужное</w:t>
      </w:r>
      <w:proofErr w:type="gramEnd"/>
      <w:r w:rsidRPr="00824F1A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1. направить в личный кабинет на ЕПГУ, РПГУ, по электронной почте;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2. выдать на руки в Администрации;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3. выдать на руки в многофункциональном центре;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 xml:space="preserve">4. направить посредством почтового отправления с уведомлением о вручении. 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tabs>
          <w:tab w:val="left" w:pos="916"/>
          <w:tab w:val="left" w:pos="1832"/>
          <w:tab w:val="left" w:pos="4580"/>
          <w:tab w:val="left" w:pos="7431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 w:hanging="612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>_______________________</w:t>
      </w:r>
      <w:r w:rsidRPr="00824F1A">
        <w:rPr>
          <w:rFonts w:ascii="Times New Roman" w:hAnsi="Times New Roman"/>
          <w:sz w:val="28"/>
          <w:szCs w:val="28"/>
        </w:rPr>
        <w:tab/>
      </w:r>
      <w:r w:rsidRPr="00824F1A">
        <w:rPr>
          <w:rFonts w:ascii="Times New Roman" w:hAnsi="Times New Roman"/>
          <w:sz w:val="28"/>
          <w:szCs w:val="28"/>
        </w:rPr>
        <w:tab/>
        <w:t>___________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 w:hanging="1179"/>
        <w:jc w:val="both"/>
        <w:rPr>
          <w:rFonts w:ascii="Times New Roman" w:hAnsi="Times New Roman"/>
          <w:sz w:val="28"/>
          <w:szCs w:val="28"/>
        </w:rPr>
      </w:pPr>
      <w:r w:rsidRPr="00824F1A">
        <w:rPr>
          <w:rFonts w:ascii="Times New Roman" w:hAnsi="Times New Roman"/>
          <w:sz w:val="28"/>
          <w:szCs w:val="28"/>
        </w:rPr>
        <w:t xml:space="preserve">                            подпись                                                                                         дата</w:t>
      </w: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 w:hanging="1179"/>
        <w:jc w:val="both"/>
        <w:rPr>
          <w:rFonts w:ascii="Times New Roman" w:hAnsi="Times New Roman"/>
          <w:sz w:val="28"/>
          <w:szCs w:val="28"/>
        </w:rPr>
      </w:pP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6"/>
          <w:szCs w:val="26"/>
        </w:rPr>
      </w:pPr>
    </w:p>
    <w:p w:rsidR="00824F1A" w:rsidRPr="00824F1A" w:rsidRDefault="00824F1A" w:rsidP="0082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328"/>
        <w:jc w:val="both"/>
        <w:rPr>
          <w:rFonts w:ascii="Times New Roman" w:hAnsi="Times New Roman"/>
          <w:sz w:val="26"/>
          <w:szCs w:val="26"/>
        </w:rPr>
      </w:pPr>
    </w:p>
    <w:p w:rsidR="00CA1145" w:rsidRPr="00AB79D0" w:rsidRDefault="00CA1145" w:rsidP="00D17F1C">
      <w:pPr>
        <w:spacing w:line="240" w:lineRule="auto"/>
        <w:rPr>
          <w:rFonts w:ascii="Times New Roman" w:hAnsi="Times New Roman"/>
          <w:b/>
        </w:rPr>
      </w:pPr>
    </w:p>
    <w:sectPr w:rsidR="00CA1145" w:rsidRPr="00AB79D0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CD" w:rsidRDefault="008014CD" w:rsidP="00F847AF">
      <w:pPr>
        <w:spacing w:after="0" w:line="240" w:lineRule="auto"/>
      </w:pPr>
      <w:r>
        <w:separator/>
      </w:r>
    </w:p>
  </w:endnote>
  <w:endnote w:type="continuationSeparator" w:id="0">
    <w:p w:rsidR="008014CD" w:rsidRDefault="008014C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CD" w:rsidRDefault="008014CD" w:rsidP="00F847AF">
      <w:pPr>
        <w:spacing w:after="0" w:line="240" w:lineRule="auto"/>
      </w:pPr>
      <w:r>
        <w:separator/>
      </w:r>
    </w:p>
  </w:footnote>
  <w:footnote w:type="continuationSeparator" w:id="0">
    <w:p w:rsidR="008014CD" w:rsidRDefault="008014CD" w:rsidP="00F847AF">
      <w:pPr>
        <w:spacing w:after="0" w:line="240" w:lineRule="auto"/>
      </w:pPr>
      <w:r>
        <w:continuationSeparator/>
      </w:r>
    </w:p>
  </w:footnote>
  <w:footnote w:id="1">
    <w:p w:rsidR="000A316E" w:rsidRPr="00E752C6" w:rsidRDefault="000A316E" w:rsidP="0081577D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0A316E" w:rsidRDefault="000A316E" w:rsidP="0081577D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0A316E" w:rsidRDefault="000A316E" w:rsidP="0081577D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0A316E" w:rsidRDefault="000A316E">
      <w:pPr>
        <w:pStyle w:val="af"/>
      </w:pPr>
      <w:r>
        <w:rPr>
          <w:rStyle w:val="af1"/>
        </w:rPr>
        <w:footnoteRef/>
      </w:r>
      <w:r>
        <w:t xml:space="preserve"> Форма и образец заявления приводятся органом, предоставляющим услугу</w:t>
      </w:r>
    </w:p>
  </w:footnote>
  <w:footnote w:id="5">
    <w:p w:rsidR="000A316E" w:rsidRPr="005257FF" w:rsidRDefault="000A316E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6">
    <w:p w:rsidR="000A316E" w:rsidRDefault="000A316E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0A316E" w:rsidRDefault="000A316E">
      <w:pPr>
        <w:pStyle w:val="af"/>
      </w:pPr>
      <w:r>
        <w:rPr>
          <w:rStyle w:val="af1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0A316E" w:rsidRDefault="000A316E">
      <w:pPr>
        <w:pStyle w:val="af"/>
      </w:pPr>
      <w:r>
        <w:rPr>
          <w:rStyle w:val="af1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95B52"/>
    <w:rsid w:val="000A31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004FE"/>
    <w:rsid w:val="00213C24"/>
    <w:rsid w:val="00215959"/>
    <w:rsid w:val="002169F1"/>
    <w:rsid w:val="00217ABC"/>
    <w:rsid w:val="002266C3"/>
    <w:rsid w:val="00234CC5"/>
    <w:rsid w:val="00234D41"/>
    <w:rsid w:val="00264FB0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23A3D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3F4477"/>
    <w:rsid w:val="00411925"/>
    <w:rsid w:val="00411F65"/>
    <w:rsid w:val="00412FC6"/>
    <w:rsid w:val="00414473"/>
    <w:rsid w:val="00427DCF"/>
    <w:rsid w:val="00431CA0"/>
    <w:rsid w:val="00444FFA"/>
    <w:rsid w:val="0045200F"/>
    <w:rsid w:val="00454746"/>
    <w:rsid w:val="004679FD"/>
    <w:rsid w:val="00472EEE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5F0A79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861C1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366B"/>
    <w:rsid w:val="007A5A55"/>
    <w:rsid w:val="007A7071"/>
    <w:rsid w:val="007B5EEE"/>
    <w:rsid w:val="007C59CC"/>
    <w:rsid w:val="007C77E2"/>
    <w:rsid w:val="007D7E34"/>
    <w:rsid w:val="007E17FE"/>
    <w:rsid w:val="007E2FF7"/>
    <w:rsid w:val="008014CD"/>
    <w:rsid w:val="00811C55"/>
    <w:rsid w:val="00813E98"/>
    <w:rsid w:val="00814A3A"/>
    <w:rsid w:val="0081577D"/>
    <w:rsid w:val="0081671A"/>
    <w:rsid w:val="00817828"/>
    <w:rsid w:val="0082349B"/>
    <w:rsid w:val="008246B5"/>
    <w:rsid w:val="00824F1A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2909"/>
    <w:rsid w:val="00887A33"/>
    <w:rsid w:val="0089187A"/>
    <w:rsid w:val="00892857"/>
    <w:rsid w:val="00895CE7"/>
    <w:rsid w:val="00897B2A"/>
    <w:rsid w:val="008A73B3"/>
    <w:rsid w:val="008C3DCC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767DB"/>
    <w:rsid w:val="00993050"/>
    <w:rsid w:val="00993389"/>
    <w:rsid w:val="00995121"/>
    <w:rsid w:val="0099596D"/>
    <w:rsid w:val="009A5B4C"/>
    <w:rsid w:val="009A7463"/>
    <w:rsid w:val="009B4786"/>
    <w:rsid w:val="009C0C88"/>
    <w:rsid w:val="009C240D"/>
    <w:rsid w:val="009C6B92"/>
    <w:rsid w:val="009D26D2"/>
    <w:rsid w:val="009D4859"/>
    <w:rsid w:val="009D66F0"/>
    <w:rsid w:val="009E39F7"/>
    <w:rsid w:val="009F7458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B79D0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3CC8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6E83"/>
    <w:rsid w:val="00CA114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4736B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751A"/>
    <w:rsid w:val="00F57A4C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B7A13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2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74F2-58A0-454F-BD82-77D31158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3872</Words>
  <Characters>22076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РАЗДЕЛ 1. «ОБЩИЕ СВЕДЕНИЯ О МУНИЦИПАЛЬНОЙ УСЛУГЕ»</vt:lpstr>
      <vt:lpstr>РАЗДЕЛ 2. «ОБЩИЕ СВЕДЕНИЯ О «ПОДУСЛУГАХ»</vt:lpstr>
      <vt:lpstr>РАЗДЕЛ 3. «СВЕДЕНИЯ О ЗАЯВИТЕЛЯХ «ПОДУСЛУГИ»</vt:lpstr>
      <vt:lpstr>РАЗДЕЛ 4. «ДОКУМЕНТЫ, ПРЕДОСТАВЛЯЕМЫЕ ЗАЯВИТЕЛЕМ ДЛЯ ПОЛУЧЕНИЯ «ПОДУСЛУГИ»</vt:lpstr>
      <vt:lpstr>РАЗДЕЛ 5. «ДОКУМЕНТЫ И СВЕДЕНИЯ, ПОЛУЧАЕМЫЕ ПОСРЕДСТВОМ МЕЖВЕДОМСТВЕННОГО ИНФОР</vt:lpstr>
      <vt:lpstr>РАЗДЕЛ 6. РЕЗУЛЬТАТ «ПОДУСЛУГИ»</vt:lpstr>
      <vt:lpstr>РАЗДЕЛ 7. «ТЕХНОЛОГИЧЕСКИЕ ПРОЦЕССЫ ПРЕДОСТАВЛЕНИЯ «ПОДУСЛУГИ»</vt:lpstr>
      <vt:lpstr>РАЗДЕЛ 8. «ОСОБЕННОСТИ ПРЕДОСТАВЛЕНИЯ «ПОДУСЛУГИ» В ЭЛЕКТРОННОЙ ФОРМЕ</vt:lpstr>
    </vt:vector>
  </TitlesOfParts>
  <Company/>
  <LinksUpToDate>false</LinksUpToDate>
  <CharactersWithSpaces>25897</CharactersWithSpaces>
  <SharedDoc>false</SharedDoc>
  <HLinks>
    <vt:vector size="12" baseType="variant"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garantf1://12038291.2401/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Сергей Сергеевич</cp:lastModifiedBy>
  <cp:revision>5</cp:revision>
  <dcterms:created xsi:type="dcterms:W3CDTF">2017-01-30T12:38:00Z</dcterms:created>
  <dcterms:modified xsi:type="dcterms:W3CDTF">2024-08-19T08:21:00Z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