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B9" w:rsidRDefault="00B618B9" w:rsidP="00B618B9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Утверждена</w:t>
      </w:r>
    </w:p>
    <w:p w:rsidR="00B618B9" w:rsidRDefault="00B618B9" w:rsidP="00B618B9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 администрации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тинского сельского поселения Х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хольского муниципального района</w:t>
      </w:r>
    </w:p>
    <w:p w:rsidR="00322A83" w:rsidRPr="00DD0E05" w:rsidRDefault="00B618B9" w:rsidP="00B618B9">
      <w:pPr>
        <w:spacing w:after="0" w:line="240" w:lineRule="auto"/>
        <w:ind w:left="1062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№ 16 от  29.12.2023  г.</w:t>
      </w:r>
    </w:p>
    <w:p w:rsidR="00322A83" w:rsidRDefault="00322A83" w:rsidP="00322A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ПРЕД</w:t>
      </w:r>
      <w:r w:rsidR="002943A9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8A5772" w:rsidRPr="007D23F2" w:rsidRDefault="007D23F2" w:rsidP="00FF4F54">
      <w:pPr>
        <w:spacing w:after="0" w:line="240" w:lineRule="auto"/>
        <w:jc w:val="center"/>
        <w:rPr>
          <w:rFonts w:ascii="Times New Roman" w:eastAsia="Calibri" w:hAnsi="Times New Roman"/>
          <w:b/>
          <w:caps/>
          <w:lang w:eastAsia="en-US"/>
        </w:rPr>
      </w:pPr>
      <w:r w:rsidRPr="007D23F2">
        <w:rPr>
          <w:rFonts w:ascii="Times New Roman" w:hAnsi="Times New Roman"/>
          <w:b/>
        </w:rPr>
        <w:t>ПРИНЯТИЕ НА УЧЕТ ГРАЖДАН В КАЧЕСТВЕ НУЖДАЮЩИХСЯ В ЖИЛЫХ ПОМЕЩЕНИЯХ</w:t>
      </w: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8931"/>
      </w:tblGrid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9B6550"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481109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Номер услуги в федеральном реестре</w:t>
            </w:r>
            <w:r w:rsidRPr="009B6550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9B6550" w:rsidRDefault="009B6550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3640100010000916387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Административный регламент предоставления мун</w:t>
            </w:r>
            <w:r w:rsidRPr="009B6550">
              <w:rPr>
                <w:rFonts w:ascii="Times New Roman" w:eastAsia="Calibri" w:hAnsi="Times New Roman"/>
                <w:lang w:eastAsia="en-US"/>
              </w:rPr>
              <w:t>и</w:t>
            </w:r>
            <w:r w:rsidRPr="009B6550">
              <w:rPr>
                <w:rFonts w:ascii="Times New Roman" w:eastAsia="Calibri" w:hAnsi="Times New Roman"/>
                <w:lang w:eastAsia="en-US"/>
              </w:rPr>
              <w:t>ципальной услуги</w:t>
            </w:r>
            <w:r w:rsidRPr="009B6550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9B6550" w:rsidRDefault="00322A83" w:rsidP="007D23F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bookmarkStart w:id="0" w:name="P31"/>
            <w:bookmarkEnd w:id="0"/>
            <w:r w:rsidRPr="009B6550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Постановление администрации  Петинского сельского поселения Хохольского муниц</w:t>
            </w:r>
            <w:r w:rsidRPr="009B6550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и</w:t>
            </w:r>
            <w:r w:rsidRPr="009B6550">
              <w:rPr>
                <w:rFonts w:ascii="Times New Roman" w:eastAsia="Calibri" w:hAnsi="Times New Roman"/>
                <w:color w:val="000000"/>
                <w:shd w:val="clear" w:color="auto" w:fill="FFFFFF"/>
                <w:lang w:eastAsia="en-US"/>
              </w:rPr>
              <w:t>пального района Воронежской области от</w:t>
            </w:r>
            <w:r w:rsidRPr="009B6550">
              <w:rPr>
                <w:rFonts w:ascii="Times New Roman" w:eastAsia="Calibri" w:hAnsi="Times New Roman"/>
                <w:lang w:eastAsia="en-US"/>
              </w:rPr>
              <w:t xml:space="preserve">  0</w:t>
            </w:r>
            <w:r w:rsidR="007D23F2">
              <w:rPr>
                <w:rFonts w:ascii="Times New Roman" w:eastAsia="Calibri" w:hAnsi="Times New Roman"/>
                <w:lang w:eastAsia="en-US"/>
              </w:rPr>
              <w:t>3</w:t>
            </w:r>
            <w:r w:rsidRPr="009B6550">
              <w:rPr>
                <w:rFonts w:ascii="Times New Roman" w:eastAsia="Calibri" w:hAnsi="Times New Roman"/>
                <w:lang w:eastAsia="en-US"/>
              </w:rPr>
              <w:t>.1</w:t>
            </w:r>
            <w:r w:rsidR="007D23F2">
              <w:rPr>
                <w:rFonts w:ascii="Times New Roman" w:eastAsia="Calibri" w:hAnsi="Times New Roman"/>
                <w:lang w:eastAsia="en-US"/>
              </w:rPr>
              <w:t>1</w:t>
            </w:r>
            <w:r w:rsidRPr="009B6550">
              <w:rPr>
                <w:rFonts w:ascii="Times New Roman" w:eastAsia="Calibri" w:hAnsi="Times New Roman"/>
                <w:lang w:eastAsia="en-US"/>
              </w:rPr>
              <w:t>.20</w:t>
            </w:r>
            <w:r w:rsidR="007D23F2">
              <w:rPr>
                <w:rFonts w:ascii="Times New Roman" w:eastAsia="Calibri" w:hAnsi="Times New Roman"/>
                <w:lang w:eastAsia="en-US"/>
              </w:rPr>
              <w:t>23</w:t>
            </w:r>
            <w:r w:rsidRPr="009B6550">
              <w:rPr>
                <w:rFonts w:ascii="Times New Roman" w:eastAsia="Calibri" w:hAnsi="Times New Roman"/>
                <w:lang w:eastAsia="en-US"/>
              </w:rPr>
              <w:t xml:space="preserve"> года  № </w:t>
            </w:r>
            <w:r w:rsidR="007D23F2">
              <w:rPr>
                <w:rFonts w:ascii="Times New Roman" w:eastAsia="Calibri" w:hAnsi="Times New Roman"/>
                <w:lang w:eastAsia="en-US"/>
              </w:rPr>
              <w:t>207</w:t>
            </w:r>
            <w:r w:rsidRPr="009B6550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="007D23F2" w:rsidRPr="007D23F2">
              <w:rPr>
                <w:rFonts w:ascii="Times New Roman" w:hAnsi="Times New Roman"/>
              </w:rPr>
              <w:t>Об утверждении адм</w:t>
            </w:r>
            <w:r w:rsidR="007D23F2" w:rsidRPr="007D23F2">
              <w:rPr>
                <w:rFonts w:ascii="Times New Roman" w:hAnsi="Times New Roman"/>
              </w:rPr>
              <w:t>и</w:t>
            </w:r>
            <w:r w:rsidR="007D23F2" w:rsidRPr="007D23F2">
              <w:rPr>
                <w:rFonts w:ascii="Times New Roman" w:hAnsi="Times New Roman"/>
              </w:rPr>
              <w:t>нистративного регламента предоставления муниципальной услуги «Принятие на учет гра</w:t>
            </w:r>
            <w:r w:rsidR="007D23F2" w:rsidRPr="007D23F2">
              <w:rPr>
                <w:rFonts w:ascii="Times New Roman" w:hAnsi="Times New Roman"/>
              </w:rPr>
              <w:t>ж</w:t>
            </w:r>
            <w:r w:rsidR="007D23F2" w:rsidRPr="007D23F2">
              <w:rPr>
                <w:rFonts w:ascii="Times New Roman" w:hAnsi="Times New Roman"/>
              </w:rPr>
              <w:t>дан в качестве нуждающихся в жилых помещениях» на территории Петинского сельского поселения Хохольского муниципального района Воронежской области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нет</w:t>
            </w:r>
          </w:p>
        </w:tc>
      </w:tr>
      <w:tr w:rsidR="009564A1" w:rsidRPr="00FF4F54" w:rsidTr="009B65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Способы оценки качества предоставления муниц</w:t>
            </w:r>
            <w:r w:rsidRPr="009B6550">
              <w:rPr>
                <w:rFonts w:ascii="Times New Roman" w:eastAsia="Calibri" w:hAnsi="Times New Roman"/>
                <w:lang w:eastAsia="en-US"/>
              </w:rPr>
              <w:t>и</w:t>
            </w:r>
            <w:r w:rsidRPr="009B6550">
              <w:rPr>
                <w:rFonts w:ascii="Times New Roman" w:eastAsia="Calibri" w:hAnsi="Times New Roman"/>
                <w:lang w:eastAsia="en-US"/>
              </w:rPr>
              <w:t>пальной услуги</w:t>
            </w:r>
            <w:r w:rsidRPr="009B6550">
              <w:rPr>
                <w:rFonts w:ascii="Times New Roman" w:eastAsia="Calibri" w:hAnsi="Times New Roman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радиотелефонная связь;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терминальные устройства в МФЦ;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единый портал государственных услуг;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региональный портал государственных услуг;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t>- официальный сайт органа;</w:t>
            </w:r>
          </w:p>
          <w:p w:rsidR="00FF4F54" w:rsidRPr="009B6550" w:rsidRDefault="00FF4F54" w:rsidP="009B6550">
            <w:pPr>
              <w:spacing w:after="0" w:line="240" w:lineRule="auto"/>
              <w:ind w:left="-102" w:right="-102"/>
              <w:rPr>
                <w:rFonts w:ascii="Times New Roman" w:eastAsia="Calibri" w:hAnsi="Times New Roman"/>
                <w:lang w:eastAsia="en-US"/>
              </w:rPr>
            </w:pPr>
            <w:r w:rsidRPr="009B6550">
              <w:rPr>
                <w:rFonts w:ascii="Times New Roman" w:eastAsia="Calibri" w:hAnsi="Times New Roman"/>
                <w:lang w:eastAsia="en-US"/>
              </w:rPr>
              <w:lastRenderedPageBreak/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тавлении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«подуслуги»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жительс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ва( по ме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ту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дейс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тавлению которых возложена на за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к категории граждан, имеющих 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личие соответс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вующего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занием общей и 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2)  ответ органа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сти, органа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либо подведомс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органу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 или органу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организации на межведомстве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ный запрос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тельствует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сутствии документа и (или) информ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ции, необходимых для принятия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на учет в кач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ключением случаев, 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в соответствии с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ствующим закон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дательством.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пальных услуг 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 соответс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вующей категории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 предст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вителями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 3)</w:t>
            </w:r>
            <w:r w:rsidRPr="009564A1">
              <w:rPr>
                <w:rFonts w:ascii="Times New Roman" w:hAnsi="Times New Roman"/>
              </w:rPr>
              <w:t>проживающие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которой совместное проживание с ним в одной квартире невозможно, и не имеющими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тавление жилых помещений по договорам социального найма муниципального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</w:t>
            </w:r>
            <w:r>
              <w:rPr>
                <w:rFonts w:ascii="Times New Roman" w:hAnsi="Times New Roman"/>
              </w:rPr>
              <w:t>го фонда</w:t>
            </w:r>
            <w:bookmarkStart w:id="1" w:name="sub_1022"/>
            <w:bookmarkEnd w:id="1"/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в случаях, установленных действующим 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ством;</w:t>
            </w:r>
            <w:r w:rsidRPr="009564A1">
              <w:rPr>
                <w:rFonts w:ascii="Times New Roman" w:hAnsi="Times New Roman"/>
              </w:rPr>
              <w:t>Воронежской области;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имеющие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вом.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заявителя и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писана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</w:t>
            </w:r>
            <w:r w:rsidRPr="00174E47">
              <w:rPr>
                <w:rFonts w:ascii="Times New Roman" w:hAnsi="Times New Roman"/>
              </w:rPr>
              <w:t>т</w:t>
            </w:r>
            <w:r w:rsidRPr="00174E47">
              <w:rPr>
                <w:rFonts w:ascii="Times New Roman" w:hAnsi="Times New Roman"/>
              </w:rPr>
              <w:t>вующим по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 если эти полномочия пр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дусмотрены о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новной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ностью. 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чисток, приписок, 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письменном заявлении дол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</w:t>
            </w:r>
            <w:r w:rsidRPr="009564A1">
              <w:rPr>
                <w:rFonts w:ascii="Times New Roman" w:hAnsi="Times New Roman"/>
              </w:rPr>
              <w:t>г</w:t>
            </w:r>
            <w:r w:rsidRPr="009564A1">
              <w:rPr>
                <w:rFonts w:ascii="Times New Roman" w:hAnsi="Times New Roman"/>
              </w:rPr>
              <w:t>раниченно дееспособными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семьи с согласия попеч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телей, законными представит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9564A1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</w:t>
            </w:r>
            <w:r w:rsidRPr="009564A1">
              <w:rPr>
                <w:rFonts w:ascii="Times New Roman" w:hAnsi="Times New Roman"/>
              </w:rPr>
              <w:t>е</w:t>
            </w:r>
            <w:r w:rsidR="00F568EF">
              <w:rPr>
                <w:rFonts w:ascii="Times New Roman" w:hAnsi="Times New Roman"/>
              </w:rPr>
              <w:t>ние №</w:t>
            </w: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Правоу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танавл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вающие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ми, иметь надлежащие подписи определенных законодательс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техники.</w:t>
            </w:r>
            <w:r w:rsidR="008C3DCC" w:rsidRPr="009564A1">
              <w:rPr>
                <w:rFonts w:ascii="Times New Roman" w:hAnsi="Times New Roman"/>
              </w:rPr>
              <w:t>;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перемену 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о ЗАГС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случае,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</w:t>
            </w:r>
            <w:r w:rsidRPr="009564A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взаимодейс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ляющего (ей)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(ой)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осущ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ствления межведомс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и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формацио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действия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венный запрос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Выписка из Единого государственного реестра прав на недвижимое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 и сделок с ним о правах гражданина и членов его семьи на имеющиеся у них объекты недвижимого имущества и выписка из Единого государственн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реестра прав на недвижимое имущ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ство и сделок с ним о правах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и членов его семьи на имевшиеся у них объекты недвижимого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ва за предыдущие пять лет.</w:t>
            </w:r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«подуслуги»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Срок хранения 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ждан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дающихся в жилых помещениях,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тавляемых по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0236"/>
            <w:bookmarkEnd w:id="2"/>
            <w:r w:rsidRPr="009564A1">
              <w:rPr>
                <w:rFonts w:ascii="Times New Roman" w:hAnsi="Times New Roman"/>
              </w:rPr>
              <w:t>- регистрируется заявление 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"/>
            <w:bookmarkEnd w:id="3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024"/>
            <w:bookmarkEnd w:id="4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5" w:name="OLE_LINK1"/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5"/>
            <w:r w:rsidRPr="00051EC6">
              <w:rPr>
                <w:rFonts w:ascii="Times New Roman" w:hAnsi="Times New Roman"/>
                <w:b/>
              </w:rPr>
              <w:t>Рассмотрение представленных до-кументов,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034"/>
            <w:bookmarkEnd w:id="6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нии услуги, а также отсутствия в представленном пакете требуемых документов, специалист в рамках межведомс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взаимодействия в течение 5 рабочих дней напра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ляет запрос в Управление Федеральной службы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регистрации, кадастра и картографии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 на получение выписки из Единого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реестра прав на недвижимое имущество и сделок с ним о правах гражданина ичленов его семьи на име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щества за предыдущие пять лет.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 либо об отказе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об отказе в принятии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431"/>
            <w:bookmarkEnd w:id="7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2"/>
            <w:bookmarkEnd w:id="8"/>
            <w:r w:rsidRPr="009564A1">
              <w:rPr>
                <w:rFonts w:ascii="Times New Roman" w:hAnsi="Times New Roman"/>
              </w:rPr>
              <w:t>- передает подготовленные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B06B57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Выдача (направл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ние) заявителю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="0002117C"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жилом помещении, предоставляемом по договору социального найма либо приказ управления и уведомление об отказе в принятии на учет направляется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/>
          <w:color w:val="auto"/>
          <w:sz w:val="22"/>
          <w:szCs w:val="22"/>
        </w:rPr>
      </w:pPr>
      <w:r w:rsidRPr="009564A1">
        <w:rPr>
          <w:rFonts w:ascii="Times New Roman" w:hAnsi="Times New Roman"/>
          <w:color w:val="auto"/>
          <w:sz w:val="22"/>
          <w:szCs w:val="22"/>
        </w:rPr>
        <w:br w:type="column"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«поду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 и иных док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ментов, необход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мых для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сударственной пошлины за пр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доставление «п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6507D1">
              <w:rPr>
                <w:rFonts w:ascii="Times New Roman" w:hAnsi="Times New Roman"/>
                <w:b/>
              </w:rPr>
              <w:t>т</w:t>
            </w:r>
            <w:r w:rsidRPr="006507D1">
              <w:rPr>
                <w:rFonts w:ascii="Times New Roman" w:hAnsi="Times New Roman"/>
                <w:b/>
              </w:rPr>
              <w:t>ветствии с закон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дательством Ро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сийской Федер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«подуслуги»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322A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322A83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предо</w:t>
            </w:r>
            <w:r w:rsidRPr="009564A1">
              <w:rPr>
                <w:rFonts w:ascii="Times New Roman" w:eastAsia="SimSun" w:hAnsi="Times New Roman"/>
              </w:rPr>
              <w:t>с</w:t>
            </w:r>
            <w:r w:rsidRPr="009564A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564A1">
              <w:rPr>
                <w:rFonts w:ascii="Times New Roman" w:eastAsia="SimSun" w:hAnsi="Times New Roman"/>
              </w:rPr>
              <w:t>у</w:t>
            </w:r>
            <w:r w:rsidRPr="009564A1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напортала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государс</w:t>
            </w:r>
            <w:r w:rsidRPr="006507D1">
              <w:rPr>
                <w:rFonts w:ascii="Times New Roman" w:hAnsi="Times New Roman"/>
              </w:rPr>
              <w:t>т</w:t>
            </w:r>
            <w:r w:rsidRPr="006507D1">
              <w:rPr>
                <w:rFonts w:ascii="Times New Roman" w:hAnsi="Times New Roman"/>
              </w:rPr>
              <w:t>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bookmarkStart w:id="9" w:name="_GoBack"/>
      <w:bookmarkEnd w:id="9"/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>
        <w:rPr>
          <w:rFonts w:ascii="Times New Roman" w:eastAsia="Calibri" w:hAnsi="Times New Roman"/>
          <w:sz w:val="20"/>
          <w:szCs w:val="20"/>
          <w:lang w:eastAsia="en-US"/>
        </w:rPr>
        <w:t>…..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6550" w:rsidRPr="008978DF" w:rsidRDefault="009B6550" w:rsidP="009B655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B6550" w:rsidRPr="008978DF" w:rsidRDefault="009B6550" w:rsidP="009B655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8978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6550" w:rsidRPr="008978DF" w:rsidRDefault="009B6550" w:rsidP="009B655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ФОРМА ЗАЯВЛЕНИЯ О ПРЕДОСТАВЛЕНИИ МУНИЦИПАЛЬНОЙ У</w:t>
      </w:r>
      <w:r w:rsidRPr="007D23F2">
        <w:rPr>
          <w:rFonts w:ascii="Times New Roman" w:hAnsi="Times New Roman"/>
          <w:sz w:val="28"/>
          <w:szCs w:val="28"/>
        </w:rPr>
        <w:t>С</w:t>
      </w:r>
      <w:r w:rsidRPr="007D23F2">
        <w:rPr>
          <w:rFonts w:ascii="Times New Roman" w:hAnsi="Times New Roman"/>
          <w:sz w:val="28"/>
          <w:szCs w:val="28"/>
        </w:rPr>
        <w:t>ЛУГИ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     (наименование органа, уполномоченного для предоставления услуги)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Заявление о постановке на учет граждан, нуждающихся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в предоставлении жилого помещения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1.Заявитель 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(фамилия, имя, отчество (при наличии), дата рождения,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Телефон: 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электронной почты: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_____________________________ дата выдачи: 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код подразделения: 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2. Представитель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Физическое лицо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0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Сведения о представителе: 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(фамилия, имя, отчество (при наличии)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__________________________ дата выдачи: 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Контактные данные 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(телефон,  адрес электронной почты)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3. Категория заявителя: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Малоимущие граждане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6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Наличие льготной категории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6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4. Причина отнесения к льготной категории: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4.1. Наличие инвалидности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9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Инвалиды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Семьи, имеющие детей-инвалидов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Сведения о ребенке-инвалиде: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(фамилия, имя, отчество (при наличии)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Дата рождения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СНИЛС 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4.2.   Участие   в   войне,  боевых  действиях,  особые  заслуги  перед гос</w:t>
      </w:r>
      <w:r w:rsidRPr="007D23F2">
        <w:rPr>
          <w:rFonts w:ascii="Times New Roman" w:hAnsi="Times New Roman"/>
          <w:sz w:val="28"/>
          <w:szCs w:val="28"/>
        </w:rPr>
        <w:t>у</w:t>
      </w:r>
      <w:r w:rsidRPr="007D23F2">
        <w:rPr>
          <w:rFonts w:ascii="Times New Roman" w:hAnsi="Times New Roman"/>
          <w:sz w:val="28"/>
          <w:szCs w:val="28"/>
        </w:rPr>
        <w:t>дарством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50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Участник событий (лицо, имеющее заслуги)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4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Член семьи (умершего) участника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4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Удостоверение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4.3.  Ликвидация  радиационных  аварий,  служба в подразделении особого риска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4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Участник событий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9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Член семьи (умершего) участника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Удостоверение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4.4. Политические репрессии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Реабилитированные лица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Лица, признанные пострадавшими от политических репрессий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30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4.5. Многодетная семья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удостоверения многодетной семьи: 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(номер, дата выдачи, орган (МФЦ)  выдавший удостоверение)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4.6. Категории, связанные с трудовой деятельностью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отнесение к категории 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4.7. Дети-сироты или дети, оставшиеся без попечения родителей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утрату (отсутствие) родителей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Дата, когда необходимо получить жилое помещение 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4.8. Граждане, страдающие хроническими заболеваниями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нанимателя (собственника) жилого помещения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20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5.2.  Заявитель является нанимателем или членом семьи нанимателя жил</w:t>
      </w:r>
      <w:r w:rsidRPr="007D23F2">
        <w:rPr>
          <w:rFonts w:ascii="Times New Roman" w:hAnsi="Times New Roman"/>
          <w:sz w:val="28"/>
          <w:szCs w:val="28"/>
        </w:rPr>
        <w:t>о</w:t>
      </w:r>
      <w:r w:rsidRPr="007D23F2">
        <w:rPr>
          <w:rFonts w:ascii="Times New Roman" w:hAnsi="Times New Roman"/>
          <w:sz w:val="28"/>
          <w:szCs w:val="28"/>
        </w:rPr>
        <w:t>го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помещения  по  договору  социального  найма, обеспеченным общей площ</w:t>
      </w:r>
      <w:r w:rsidRPr="007D23F2">
        <w:rPr>
          <w:rFonts w:ascii="Times New Roman" w:hAnsi="Times New Roman"/>
          <w:sz w:val="28"/>
          <w:szCs w:val="28"/>
        </w:rPr>
        <w:t>а</w:t>
      </w:r>
      <w:r w:rsidRPr="007D23F2">
        <w:rPr>
          <w:rFonts w:ascii="Times New Roman" w:hAnsi="Times New Roman"/>
          <w:sz w:val="28"/>
          <w:szCs w:val="28"/>
        </w:rPr>
        <w:t>дью на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одного члена семьи меньше учетной нормы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9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договора социального найма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(номер, дата выдачи, орган, с которым заключен договор)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5.3.  Заявитель является нанимателем или членом семьи нанимателя жил</w:t>
      </w:r>
      <w:r w:rsidRPr="007D23F2">
        <w:rPr>
          <w:rFonts w:ascii="Times New Roman" w:hAnsi="Times New Roman"/>
          <w:sz w:val="28"/>
          <w:szCs w:val="28"/>
        </w:rPr>
        <w:t>о</w:t>
      </w:r>
      <w:r w:rsidRPr="007D23F2">
        <w:rPr>
          <w:rFonts w:ascii="Times New Roman" w:hAnsi="Times New Roman"/>
          <w:sz w:val="28"/>
          <w:szCs w:val="28"/>
        </w:rPr>
        <w:t>го помещения  социального использования, обеспеченным общей площадью на одного члена семьи меньше учетной нормы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Наймодатель жилого помещения: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Орган  государственной власти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Орган местного самоуправления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Организация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договора найма жилого помещения 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 (номер, дата выдачи, орган, с которым заключен договор)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5.4.  Заявитель  является  собственником  или членом семьи собственника жилого  помещения, обеспеченным общей площадью на одного члена семьи меньше учетной нормы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Право собственности на жилое помещение: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Зарегистрировано в ЕГРН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Не зарегистрировано в ЕГРН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10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подтверждающий право собственности на жилое помещение 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Кадастровый номер жилого помещения 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-  Заявитель  проживает  в  помещении,  не отвечающем установленным для жилых помещений требованиям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6. Семейное положение: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Проживаю один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9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Проживаю совместно с членами семьи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7. Состою в браке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Супруг: 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(фамилия, имя, отчество (при наличии), дата рождения,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 дата выдачи: 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код подразделения: 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 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актовой записи о заключении брака 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  (номер, дата, орган, место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8. Проживаю с родителями (родителями супруга)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8.1. ФИО родителя 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 дата выдачи: 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8.2. ФИО родителя 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серия, номер ________________________ дата выдачи: 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9. Имеются дети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ФИО ребенка 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 xml:space="preserve">серия, номер ________________________ дата </w:t>
      </w:r>
      <w:r>
        <w:rPr>
          <w:rFonts w:ascii="Times New Roman" w:hAnsi="Times New Roman"/>
          <w:sz w:val="28"/>
          <w:szCs w:val="28"/>
        </w:rPr>
        <w:t>выдачи: 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Реквизиты актовой записи о рождении ребенка 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                          (номер, дата, орган, место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                         государственной регистрации)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10. Имеются иные родственники, проживающие совместно 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180975" cy="238125"/>
            <wp:effectExtent l="19050" t="0" r="9525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ФИО родственника 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(фамилия, имя, отчество (при наличии), дата рождения,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3F2">
        <w:rPr>
          <w:rFonts w:ascii="Times New Roman" w:hAnsi="Times New Roman"/>
          <w:sz w:val="24"/>
          <w:szCs w:val="24"/>
        </w:rPr>
        <w:t xml:space="preserve">                                            СНИЛС)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наименование: 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>, номер ___________________</w:t>
      </w:r>
      <w:r w:rsidRPr="007D23F2">
        <w:rPr>
          <w:rFonts w:ascii="Times New Roman" w:hAnsi="Times New Roman"/>
          <w:sz w:val="28"/>
          <w:szCs w:val="28"/>
        </w:rPr>
        <w:t xml:space="preserve"> дата </w:t>
      </w:r>
      <w:r>
        <w:rPr>
          <w:rFonts w:ascii="Times New Roman" w:hAnsi="Times New Roman"/>
          <w:sz w:val="28"/>
          <w:szCs w:val="28"/>
        </w:rPr>
        <w:t>выдачи: 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кем выдан: 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Адрес регистрации по месту жительства: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Даю  свое  согласие  на  получение,  обработку и передачу моих персонал</w:t>
      </w:r>
      <w:r w:rsidRPr="007D23F2">
        <w:rPr>
          <w:rFonts w:ascii="Times New Roman" w:hAnsi="Times New Roman"/>
          <w:sz w:val="28"/>
          <w:szCs w:val="28"/>
        </w:rPr>
        <w:t>ь</w:t>
      </w:r>
      <w:r w:rsidRPr="007D23F2">
        <w:rPr>
          <w:rFonts w:ascii="Times New Roman" w:hAnsi="Times New Roman"/>
          <w:sz w:val="28"/>
          <w:szCs w:val="28"/>
        </w:rPr>
        <w:t xml:space="preserve">ных данных  согласно Федеральному </w:t>
      </w:r>
      <w:hyperlink r:id="rId9">
        <w:r w:rsidRPr="007D23F2">
          <w:rPr>
            <w:rFonts w:ascii="Times New Roman" w:hAnsi="Times New Roman"/>
            <w:color w:val="0000FF"/>
            <w:sz w:val="28"/>
            <w:szCs w:val="28"/>
          </w:rPr>
          <w:t>закону</w:t>
        </w:r>
      </w:hyperlink>
      <w:r w:rsidRPr="007D23F2">
        <w:rPr>
          <w:rFonts w:ascii="Times New Roman" w:hAnsi="Times New Roman"/>
          <w:sz w:val="28"/>
          <w:szCs w:val="28"/>
        </w:rPr>
        <w:t xml:space="preserve"> от 27.07.2006 N 152-ФЗ "О пе</w:t>
      </w:r>
      <w:r w:rsidRPr="007D23F2">
        <w:rPr>
          <w:rFonts w:ascii="Times New Roman" w:hAnsi="Times New Roman"/>
          <w:sz w:val="28"/>
          <w:szCs w:val="28"/>
        </w:rPr>
        <w:t>р</w:t>
      </w:r>
      <w:r w:rsidRPr="007D23F2">
        <w:rPr>
          <w:rFonts w:ascii="Times New Roman" w:hAnsi="Times New Roman"/>
          <w:sz w:val="28"/>
          <w:szCs w:val="28"/>
        </w:rPr>
        <w:t>сональных данных".</w:t>
      </w:r>
    </w:p>
    <w:p w:rsidR="007D23F2" w:rsidRPr="007D23F2" w:rsidRDefault="007D23F2" w:rsidP="007D23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(нужное отм</w:t>
      </w:r>
      <w:r w:rsidRPr="007D23F2">
        <w:rPr>
          <w:rFonts w:ascii="Times New Roman" w:hAnsi="Times New Roman"/>
          <w:sz w:val="28"/>
          <w:szCs w:val="28"/>
        </w:rPr>
        <w:t>е</w:t>
      </w:r>
      <w:r w:rsidRPr="007D23F2">
        <w:rPr>
          <w:rFonts w:ascii="Times New Roman" w:hAnsi="Times New Roman"/>
          <w:sz w:val="28"/>
          <w:szCs w:val="28"/>
        </w:rPr>
        <w:t>тить):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7D23F2" w:rsidRPr="007D23F2" w:rsidRDefault="007D23F2" w:rsidP="007D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5. направить посредством почтового отправления</w:t>
      </w:r>
    </w:p>
    <w:p w:rsidR="007D23F2" w:rsidRPr="007D23F2" w:rsidRDefault="007D23F2" w:rsidP="007D23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D23F2" w:rsidRPr="007D23F2" w:rsidRDefault="007D23F2" w:rsidP="007D23F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D23F2">
        <w:rPr>
          <w:rFonts w:ascii="Times New Roman" w:hAnsi="Times New Roman"/>
          <w:sz w:val="28"/>
          <w:szCs w:val="28"/>
        </w:rPr>
        <w:t>Дата                                             Подпись</w:t>
      </w:r>
    </w:p>
    <w:sectPr w:rsidR="007D23F2" w:rsidRPr="007D23F2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3E" w:rsidRDefault="00ED5E3E" w:rsidP="00F847AF">
      <w:pPr>
        <w:spacing w:after="0" w:line="240" w:lineRule="auto"/>
      </w:pPr>
      <w:r>
        <w:separator/>
      </w:r>
    </w:p>
  </w:endnote>
  <w:endnote w:type="continuationSeparator" w:id="0">
    <w:p w:rsidR="00ED5E3E" w:rsidRDefault="00ED5E3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3E" w:rsidRDefault="00ED5E3E" w:rsidP="00F847AF">
      <w:pPr>
        <w:spacing w:after="0" w:line="240" w:lineRule="auto"/>
      </w:pPr>
      <w:r>
        <w:separator/>
      </w:r>
    </w:p>
  </w:footnote>
  <w:footnote w:type="continuationSeparator" w:id="0">
    <w:p w:rsidR="00ED5E3E" w:rsidRDefault="00ED5E3E" w:rsidP="00F847AF">
      <w:pPr>
        <w:spacing w:after="0" w:line="240" w:lineRule="auto"/>
      </w:pPr>
      <w:r>
        <w:continuationSeparator/>
      </w:r>
    </w:p>
  </w:footnote>
  <w:footnote w:id="1">
    <w:p w:rsidR="00322A83" w:rsidRDefault="00322A83" w:rsidP="00FF4F54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22A83" w:rsidRDefault="00322A83" w:rsidP="00FF4F5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322A83" w:rsidRDefault="00322A83" w:rsidP="00FF4F5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322A83" w:rsidRDefault="00322A83">
      <w:pPr>
        <w:pStyle w:val="af"/>
      </w:pPr>
      <w:r>
        <w:rPr>
          <w:rStyle w:val="af1"/>
        </w:rPr>
        <w:footnoteRef/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5">
    <w:p w:rsidR="00322A83" w:rsidRDefault="00322A83">
      <w:pPr>
        <w:pStyle w:val="af"/>
      </w:pPr>
      <w:r>
        <w:rPr>
          <w:rStyle w:val="af1"/>
        </w:rPr>
        <w:footnoteRef/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6">
    <w:p w:rsidR="00322A83" w:rsidRDefault="00322A83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322A83" w:rsidRDefault="00322A83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322A83" w:rsidRDefault="00322A83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документов и сроки их хранения указываются органом, предоставляющим услугу.</w:t>
      </w:r>
    </w:p>
  </w:footnote>
  <w:footnote w:id="9">
    <w:p w:rsidR="00322A83" w:rsidRDefault="00322A83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902BE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2A83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461AD"/>
    <w:rsid w:val="0045200F"/>
    <w:rsid w:val="004679FD"/>
    <w:rsid w:val="0047516B"/>
    <w:rsid w:val="00481109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23F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5772"/>
    <w:rsid w:val="008A73B3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B6550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18B9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057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DF5291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D5E3E"/>
    <w:rsid w:val="00EE770F"/>
    <w:rsid w:val="00F033DF"/>
    <w:rsid w:val="00F03C2A"/>
    <w:rsid w:val="00F04A3E"/>
    <w:rsid w:val="00F17358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46D7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9E4EF335086DD527D4151CF93AD479900BB9B6A34970E67370038B8BAF95A9206EA58FEA01E1ADAC7D663A7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8F71-6799-4A89-9C93-672709BE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5188</Words>
  <Characters>29574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РАЗДЕЛ 1. «ОБЩИЕ СВЕДЕНИЯ О МУНИЦИПАЛЬНОЙ УСЛУГЕ»</vt:lpstr>
      <vt:lpstr>РАЗДЕЛ 2. «ОБЩИЕ СВЕДЕНИЯ О «ПОДУСЛУГАХ»</vt:lpstr>
      <vt:lpstr>РАЗДЕЛ 3. «СВЕДЕНИЯ О ЗАЯВИТЕЛЯХ «ПОДУСЛУГИ»</vt:lpstr>
      <vt:lpstr>РАЗДЕЛ 4. «ДОКУМЕНТЫ, ПРЕДОСТАВЛЯЕМЫЕ ЗАЯВИТЕЛЕМ ДЛЯ ПОЛУЧЕНИЯ «ПОДУСЛУГИ»</vt:lpstr>
      <vt:lpstr>РАЗДЕЛ 5. «ДОКУМЕНТЫ И СВЕДЕНИЯ, ПОЛУЧАЕМЫЕ ПОСРЕДСТВОМ МЕЖВЕДОМСТВЕННОГО ИНФОР</vt:lpstr>
      <vt:lpstr>РАЗДЕЛ 6. РЕЗУЛЬТАТ «ПОДУСЛУГИ»</vt:lpstr>
      <vt:lpstr>РАЗДЕЛ 7. «ТЕХНОЛОГИЧЕСКИЕ ПРОЦЕССЫ ПРЕДОСТАВЛЕНИЯ «ПОДУСЛУГИ»</vt:lpstr>
      <vt:lpstr>РАЗДЕЛ 8. «ОСОБЕННОСТИ ПРЕДОСТАВЛЕНИЯ «ПОДУСЛУГИ» В ЭЛЕКТРОННОЙ ФОРМЕ</vt:lpstr>
      <vt:lpstr>    (подпись заявителя)</vt:lpstr>
      <vt:lpstr>    </vt:lpstr>
      <vt:lpstr>    </vt:lpstr>
    </vt:vector>
  </TitlesOfParts>
  <Company>SPecialiST RePack</Company>
  <LinksUpToDate>false</LinksUpToDate>
  <CharactersWithSpaces>34693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Сергей Сергеевич</cp:lastModifiedBy>
  <cp:revision>4</cp:revision>
  <dcterms:created xsi:type="dcterms:W3CDTF">2024-08-07T11:08:00Z</dcterms:created>
  <dcterms:modified xsi:type="dcterms:W3CDTF">2024-08-19T08:21:00Z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